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8335" w14:textId="105A0288" w:rsidR="0008029D" w:rsidRPr="005C1902" w:rsidRDefault="0008029D">
      <w:pPr>
        <w:rPr>
          <w:b/>
          <w:bCs/>
          <w:sz w:val="24"/>
          <w:szCs w:val="24"/>
        </w:rPr>
      </w:pPr>
      <w:r w:rsidRPr="005C1902">
        <w:rPr>
          <w:b/>
          <w:bCs/>
          <w:sz w:val="24"/>
          <w:szCs w:val="24"/>
        </w:rPr>
        <w:t xml:space="preserve">HM4413 </w:t>
      </w:r>
      <w:r w:rsidR="00657F1E">
        <w:rPr>
          <w:b/>
          <w:bCs/>
          <w:sz w:val="24"/>
          <w:szCs w:val="24"/>
        </w:rPr>
        <w:t xml:space="preserve">Portfolio </w:t>
      </w:r>
      <w:r w:rsidR="00DC4D3C" w:rsidRPr="005C1902">
        <w:rPr>
          <w:b/>
          <w:bCs/>
          <w:sz w:val="24"/>
          <w:szCs w:val="24"/>
        </w:rPr>
        <w:t>-</w:t>
      </w:r>
      <w:r w:rsidRPr="005C1902">
        <w:rPr>
          <w:b/>
          <w:bCs/>
          <w:sz w:val="24"/>
          <w:szCs w:val="24"/>
        </w:rPr>
        <w:t xml:space="preserve"> Shannon Mcmillan</w:t>
      </w:r>
    </w:p>
    <w:p w14:paraId="59590A93" w14:textId="77777777" w:rsidR="00DC4D3C" w:rsidRPr="005C1902" w:rsidRDefault="00DC4D3C">
      <w:pPr>
        <w:rPr>
          <w:b/>
          <w:bCs/>
          <w:sz w:val="24"/>
          <w:szCs w:val="24"/>
        </w:rPr>
      </w:pPr>
    </w:p>
    <w:p w14:paraId="5773C6C0" w14:textId="7A1E9C3F" w:rsidR="0008029D" w:rsidRPr="005C1902" w:rsidRDefault="0008029D">
      <w:pPr>
        <w:rPr>
          <w:b/>
          <w:bCs/>
          <w:sz w:val="24"/>
          <w:szCs w:val="24"/>
        </w:rPr>
      </w:pPr>
      <w:r w:rsidRPr="005C1902">
        <w:rPr>
          <w:b/>
          <w:bCs/>
          <w:sz w:val="24"/>
          <w:szCs w:val="24"/>
        </w:rPr>
        <w:t xml:space="preserve">The Prince by </w:t>
      </w:r>
      <w:r w:rsidR="005C1902" w:rsidRPr="005C1902">
        <w:rPr>
          <w:b/>
          <w:bCs/>
          <w:sz w:val="24"/>
          <w:szCs w:val="24"/>
        </w:rPr>
        <w:t>Niccol</w:t>
      </w:r>
      <w:r w:rsidR="005C1902" w:rsidRPr="005C1902">
        <w:rPr>
          <w:rFonts w:cstheme="minorHAnsi"/>
          <w:b/>
          <w:bCs/>
          <w:sz w:val="24"/>
          <w:szCs w:val="24"/>
        </w:rPr>
        <w:t>ò</w:t>
      </w:r>
      <w:r w:rsidR="005C1902" w:rsidRPr="005C1902">
        <w:rPr>
          <w:b/>
          <w:bCs/>
          <w:sz w:val="24"/>
          <w:szCs w:val="24"/>
        </w:rPr>
        <w:t xml:space="preserve"> </w:t>
      </w:r>
      <w:r w:rsidRPr="005C1902">
        <w:rPr>
          <w:b/>
          <w:bCs/>
          <w:sz w:val="24"/>
          <w:szCs w:val="24"/>
        </w:rPr>
        <w:t xml:space="preserve">Machiavelli (1513) </w:t>
      </w:r>
    </w:p>
    <w:p w14:paraId="0FC59997" w14:textId="3B20C1AA" w:rsidR="005C1902" w:rsidRPr="00627972" w:rsidRDefault="00F76E57" w:rsidP="00922F05">
      <w:pPr>
        <w:spacing w:line="480" w:lineRule="auto"/>
        <w:rPr>
          <w:sz w:val="24"/>
          <w:szCs w:val="24"/>
        </w:rPr>
      </w:pPr>
      <w:r w:rsidRPr="00627972">
        <w:rPr>
          <w:sz w:val="24"/>
          <w:szCs w:val="24"/>
        </w:rPr>
        <w:t xml:space="preserve">Machiavelli’s </w:t>
      </w:r>
      <w:r w:rsidR="00E03031" w:rsidRPr="00627972">
        <w:rPr>
          <w:i/>
          <w:iCs/>
          <w:sz w:val="24"/>
          <w:szCs w:val="24"/>
        </w:rPr>
        <w:t>The Prince</w:t>
      </w:r>
      <w:r w:rsidR="00E03031" w:rsidRPr="00627972">
        <w:rPr>
          <w:sz w:val="24"/>
          <w:szCs w:val="24"/>
        </w:rPr>
        <w:t xml:space="preserve"> offers</w:t>
      </w:r>
      <w:r w:rsidR="00507BEB" w:rsidRPr="00627972">
        <w:rPr>
          <w:sz w:val="24"/>
          <w:szCs w:val="24"/>
        </w:rPr>
        <w:t xml:space="preserve"> </w:t>
      </w:r>
      <w:r w:rsidR="00E03031" w:rsidRPr="00627972">
        <w:rPr>
          <w:sz w:val="24"/>
          <w:szCs w:val="24"/>
        </w:rPr>
        <w:t xml:space="preserve">insight </w:t>
      </w:r>
      <w:r w:rsidR="009B616B" w:rsidRPr="00627972">
        <w:rPr>
          <w:sz w:val="24"/>
          <w:szCs w:val="24"/>
        </w:rPr>
        <w:t>into</w:t>
      </w:r>
      <w:r w:rsidR="002C3A36" w:rsidRPr="00627972">
        <w:rPr>
          <w:sz w:val="24"/>
          <w:szCs w:val="24"/>
        </w:rPr>
        <w:t xml:space="preserve"> </w:t>
      </w:r>
      <w:r w:rsidR="00507BEB" w:rsidRPr="00627972">
        <w:rPr>
          <w:sz w:val="24"/>
          <w:szCs w:val="24"/>
        </w:rPr>
        <w:t>the lives of princes during the 16</w:t>
      </w:r>
      <w:r w:rsidR="00507BEB" w:rsidRPr="00627972">
        <w:rPr>
          <w:sz w:val="24"/>
          <w:szCs w:val="24"/>
          <w:vertAlign w:val="superscript"/>
        </w:rPr>
        <w:t>th</w:t>
      </w:r>
      <w:r w:rsidR="00507BEB" w:rsidRPr="00627972">
        <w:rPr>
          <w:sz w:val="24"/>
          <w:szCs w:val="24"/>
        </w:rPr>
        <w:t xml:space="preserve"> century</w:t>
      </w:r>
      <w:r w:rsidR="00D30511" w:rsidRPr="00627972">
        <w:rPr>
          <w:sz w:val="24"/>
          <w:szCs w:val="24"/>
        </w:rPr>
        <w:t xml:space="preserve"> and presents a helpful resource in historical research on the socio-political and military structures </w:t>
      </w:r>
      <w:r w:rsidR="00EF0232" w:rsidRPr="00627972">
        <w:rPr>
          <w:sz w:val="24"/>
          <w:szCs w:val="24"/>
        </w:rPr>
        <w:t xml:space="preserve">in Italy at the time. </w:t>
      </w:r>
      <w:r w:rsidR="00563727" w:rsidRPr="00627972">
        <w:rPr>
          <w:sz w:val="24"/>
          <w:szCs w:val="24"/>
        </w:rPr>
        <w:t>Additionally, it</w:t>
      </w:r>
      <w:r w:rsidR="00EF0232" w:rsidRPr="00627972">
        <w:rPr>
          <w:sz w:val="24"/>
          <w:szCs w:val="24"/>
        </w:rPr>
        <w:t xml:space="preserve"> provides advice for princes on </w:t>
      </w:r>
      <w:r w:rsidR="002C3A36" w:rsidRPr="00627972">
        <w:rPr>
          <w:sz w:val="24"/>
          <w:szCs w:val="24"/>
        </w:rPr>
        <w:t>running a successful principality in the current political climate o</w:t>
      </w:r>
      <w:r w:rsidR="00D50FEE" w:rsidRPr="00627972">
        <w:rPr>
          <w:sz w:val="24"/>
          <w:szCs w:val="24"/>
        </w:rPr>
        <w:t>f</w:t>
      </w:r>
      <w:r w:rsidR="002C3A36" w:rsidRPr="00627972">
        <w:rPr>
          <w:sz w:val="24"/>
          <w:szCs w:val="24"/>
        </w:rPr>
        <w:t xml:space="preserve"> 1500s Italy. </w:t>
      </w:r>
      <w:r w:rsidR="00633A6F" w:rsidRPr="00627972">
        <w:rPr>
          <w:sz w:val="24"/>
          <w:szCs w:val="24"/>
        </w:rPr>
        <w:t xml:space="preserve">Advising in issues such as politics and military </w:t>
      </w:r>
      <w:r w:rsidR="00507BEB" w:rsidRPr="00627972">
        <w:rPr>
          <w:sz w:val="24"/>
          <w:szCs w:val="24"/>
        </w:rPr>
        <w:t xml:space="preserve">organisation </w:t>
      </w:r>
      <w:r w:rsidR="00EC4698" w:rsidRPr="00627972">
        <w:rPr>
          <w:sz w:val="24"/>
          <w:szCs w:val="24"/>
        </w:rPr>
        <w:t>which has influenced the centuries post-Machiavelli</w:t>
      </w:r>
      <w:r w:rsidR="00406BEB" w:rsidRPr="00627972">
        <w:rPr>
          <w:sz w:val="24"/>
          <w:szCs w:val="24"/>
        </w:rPr>
        <w:t>, its influence on the same level as Marx and Engels’ Communist Manifesto</w:t>
      </w:r>
      <w:r w:rsidR="00406BEB" w:rsidRPr="00627972">
        <w:rPr>
          <w:rStyle w:val="FootnoteReference"/>
          <w:sz w:val="24"/>
          <w:szCs w:val="24"/>
        </w:rPr>
        <w:footnoteReference w:id="1"/>
      </w:r>
      <w:r w:rsidR="00B4349F" w:rsidRPr="00627972">
        <w:rPr>
          <w:sz w:val="24"/>
          <w:szCs w:val="24"/>
        </w:rPr>
        <w:t xml:space="preserve">, with </w:t>
      </w:r>
      <w:r w:rsidR="00B4349F" w:rsidRPr="00627972">
        <w:rPr>
          <w:i/>
          <w:iCs/>
          <w:sz w:val="24"/>
          <w:szCs w:val="24"/>
        </w:rPr>
        <w:t xml:space="preserve">The Prince </w:t>
      </w:r>
      <w:r w:rsidR="00B4349F" w:rsidRPr="00627972">
        <w:rPr>
          <w:sz w:val="24"/>
          <w:szCs w:val="24"/>
        </w:rPr>
        <w:t>‘</w:t>
      </w:r>
      <w:r w:rsidR="003C5C69" w:rsidRPr="00627972">
        <w:rPr>
          <w:sz w:val="24"/>
          <w:szCs w:val="24"/>
        </w:rPr>
        <w:t>emerging as the supreme creation of Italian history up to this time</w:t>
      </w:r>
      <w:r w:rsidR="007526F2" w:rsidRPr="00627972">
        <w:rPr>
          <w:sz w:val="24"/>
          <w:szCs w:val="24"/>
        </w:rPr>
        <w:t>’</w:t>
      </w:r>
      <w:r w:rsidR="003F712F" w:rsidRPr="00627972">
        <w:rPr>
          <w:rStyle w:val="FootnoteReference"/>
          <w:sz w:val="24"/>
          <w:szCs w:val="24"/>
        </w:rPr>
        <w:footnoteReference w:id="2"/>
      </w:r>
      <w:r w:rsidR="000035A2" w:rsidRPr="00627972">
        <w:rPr>
          <w:sz w:val="24"/>
          <w:szCs w:val="24"/>
        </w:rPr>
        <w:t>.</w:t>
      </w:r>
      <w:r w:rsidR="00EC4698" w:rsidRPr="00627972">
        <w:rPr>
          <w:sz w:val="24"/>
          <w:szCs w:val="24"/>
        </w:rPr>
        <w:t xml:space="preserve"> </w:t>
      </w:r>
      <w:r w:rsidR="00657C3E" w:rsidRPr="00627972">
        <w:rPr>
          <w:sz w:val="24"/>
          <w:szCs w:val="24"/>
        </w:rPr>
        <w:t xml:space="preserve">The political theory of </w:t>
      </w:r>
      <w:r w:rsidR="00511401" w:rsidRPr="00627972">
        <w:rPr>
          <w:rFonts w:cstheme="minorHAnsi"/>
          <w:sz w:val="24"/>
          <w:szCs w:val="24"/>
        </w:rPr>
        <w:t>Machiavellianism</w:t>
      </w:r>
      <w:r w:rsidR="00BF4136" w:rsidRPr="00627972">
        <w:rPr>
          <w:sz w:val="24"/>
          <w:szCs w:val="24"/>
        </w:rPr>
        <w:t xml:space="preserve"> can be seen i</w:t>
      </w:r>
      <w:r w:rsidR="00EC4698" w:rsidRPr="00627972">
        <w:rPr>
          <w:sz w:val="24"/>
          <w:szCs w:val="24"/>
        </w:rPr>
        <w:t xml:space="preserve">n </w:t>
      </w:r>
      <w:r w:rsidR="00657C3E" w:rsidRPr="00627972">
        <w:rPr>
          <w:sz w:val="24"/>
          <w:szCs w:val="24"/>
        </w:rPr>
        <w:t xml:space="preserve">literary </w:t>
      </w:r>
      <w:r w:rsidR="00EC4698" w:rsidRPr="00627972">
        <w:rPr>
          <w:sz w:val="24"/>
          <w:szCs w:val="24"/>
        </w:rPr>
        <w:t>work</w:t>
      </w:r>
      <w:r w:rsidR="003720CE" w:rsidRPr="00627972">
        <w:rPr>
          <w:sz w:val="24"/>
          <w:szCs w:val="24"/>
        </w:rPr>
        <w:t xml:space="preserve"> by</w:t>
      </w:r>
      <w:r w:rsidR="00EC4698" w:rsidRPr="00627972">
        <w:rPr>
          <w:sz w:val="24"/>
          <w:szCs w:val="24"/>
        </w:rPr>
        <w:t xml:space="preserve"> Shakespeare with characters such as </w:t>
      </w:r>
      <w:r w:rsidR="005612CC" w:rsidRPr="00627972">
        <w:rPr>
          <w:sz w:val="24"/>
          <w:szCs w:val="24"/>
        </w:rPr>
        <w:t>‘</w:t>
      </w:r>
      <w:r w:rsidR="00C31B56" w:rsidRPr="00627972">
        <w:rPr>
          <w:sz w:val="24"/>
          <w:szCs w:val="24"/>
        </w:rPr>
        <w:t>h</w:t>
      </w:r>
      <w:r w:rsidR="00907EE1" w:rsidRPr="00627972">
        <w:rPr>
          <w:sz w:val="24"/>
          <w:szCs w:val="24"/>
        </w:rPr>
        <w:t xml:space="preserve">onest </w:t>
      </w:r>
      <w:r w:rsidR="005612CC" w:rsidRPr="00627972">
        <w:rPr>
          <w:sz w:val="24"/>
          <w:szCs w:val="24"/>
        </w:rPr>
        <w:t>and just’</w:t>
      </w:r>
      <w:r w:rsidR="005612CC" w:rsidRPr="00627972">
        <w:rPr>
          <w:rStyle w:val="FootnoteReference"/>
          <w:sz w:val="24"/>
          <w:szCs w:val="24"/>
        </w:rPr>
        <w:footnoteReference w:id="3"/>
      </w:r>
      <w:r w:rsidR="005612CC" w:rsidRPr="00627972">
        <w:rPr>
          <w:sz w:val="24"/>
          <w:szCs w:val="24"/>
        </w:rPr>
        <w:t xml:space="preserve">  </w:t>
      </w:r>
      <w:r w:rsidR="00B11E4B" w:rsidRPr="00627972">
        <w:rPr>
          <w:sz w:val="24"/>
          <w:szCs w:val="24"/>
        </w:rPr>
        <w:t>Iago</w:t>
      </w:r>
      <w:r w:rsidR="005612CC" w:rsidRPr="00627972">
        <w:rPr>
          <w:sz w:val="24"/>
          <w:szCs w:val="24"/>
        </w:rPr>
        <w:t xml:space="preserve"> </w:t>
      </w:r>
      <w:r w:rsidR="00A03ABC" w:rsidRPr="00627972">
        <w:rPr>
          <w:sz w:val="24"/>
          <w:szCs w:val="24"/>
        </w:rPr>
        <w:t xml:space="preserve">in Othello </w:t>
      </w:r>
      <w:r w:rsidR="003D268F" w:rsidRPr="00627972">
        <w:rPr>
          <w:sz w:val="24"/>
          <w:szCs w:val="24"/>
        </w:rPr>
        <w:t>e</w:t>
      </w:r>
      <w:r w:rsidR="00B11E4B" w:rsidRPr="00627972">
        <w:rPr>
          <w:sz w:val="24"/>
          <w:szCs w:val="24"/>
        </w:rPr>
        <w:t xml:space="preserve">xhibiting </w:t>
      </w:r>
      <w:r w:rsidR="00A51E0C" w:rsidRPr="00627972">
        <w:rPr>
          <w:sz w:val="24"/>
          <w:szCs w:val="24"/>
        </w:rPr>
        <w:t xml:space="preserve">a </w:t>
      </w:r>
      <w:r w:rsidR="000035A2" w:rsidRPr="00627972">
        <w:rPr>
          <w:sz w:val="24"/>
          <w:szCs w:val="24"/>
        </w:rPr>
        <w:t>manipulati</w:t>
      </w:r>
      <w:r w:rsidR="00A51E0C" w:rsidRPr="00627972">
        <w:rPr>
          <w:sz w:val="24"/>
          <w:szCs w:val="24"/>
        </w:rPr>
        <w:t>ve personality</w:t>
      </w:r>
      <w:r w:rsidR="002A5B91" w:rsidRPr="00627972">
        <w:rPr>
          <w:sz w:val="24"/>
          <w:szCs w:val="24"/>
        </w:rPr>
        <w:t xml:space="preserve"> </w:t>
      </w:r>
      <w:r w:rsidR="00293E97" w:rsidRPr="00627972">
        <w:rPr>
          <w:sz w:val="24"/>
          <w:szCs w:val="24"/>
        </w:rPr>
        <w:t>along with</w:t>
      </w:r>
      <w:r w:rsidR="002A5B91" w:rsidRPr="00627972">
        <w:rPr>
          <w:sz w:val="24"/>
          <w:szCs w:val="24"/>
        </w:rPr>
        <w:t xml:space="preserve"> </w:t>
      </w:r>
      <w:r w:rsidR="00A51E0C" w:rsidRPr="00627972">
        <w:rPr>
          <w:sz w:val="24"/>
          <w:szCs w:val="24"/>
        </w:rPr>
        <w:t xml:space="preserve">only </w:t>
      </w:r>
      <w:r w:rsidR="00B050E9" w:rsidRPr="00627972">
        <w:rPr>
          <w:sz w:val="24"/>
          <w:szCs w:val="24"/>
        </w:rPr>
        <w:t>‘appealing to [his</w:t>
      </w:r>
      <w:r w:rsidR="00E86B6D" w:rsidRPr="00627972">
        <w:rPr>
          <w:sz w:val="24"/>
          <w:szCs w:val="24"/>
        </w:rPr>
        <w:t xml:space="preserve"> own</w:t>
      </w:r>
      <w:r w:rsidR="00B050E9" w:rsidRPr="00627972">
        <w:rPr>
          <w:sz w:val="24"/>
          <w:szCs w:val="24"/>
        </w:rPr>
        <w:t>] self-interest’</w:t>
      </w:r>
      <w:r w:rsidR="00B050E9" w:rsidRPr="00627972">
        <w:rPr>
          <w:rStyle w:val="FootnoteReference"/>
          <w:sz w:val="24"/>
          <w:szCs w:val="24"/>
        </w:rPr>
        <w:footnoteReference w:id="4"/>
      </w:r>
      <w:r w:rsidR="000035A2" w:rsidRPr="00627972">
        <w:rPr>
          <w:sz w:val="24"/>
          <w:szCs w:val="24"/>
        </w:rPr>
        <w:t>,</w:t>
      </w:r>
      <w:r w:rsidR="00B11E4B" w:rsidRPr="00627972">
        <w:rPr>
          <w:sz w:val="24"/>
          <w:szCs w:val="24"/>
        </w:rPr>
        <w:t xml:space="preserve"> and with the mention of the </w:t>
      </w:r>
      <w:r w:rsidR="0046312F" w:rsidRPr="00627972">
        <w:rPr>
          <w:sz w:val="24"/>
          <w:szCs w:val="24"/>
        </w:rPr>
        <w:t>‘</w:t>
      </w:r>
      <w:r w:rsidR="00B11E4B" w:rsidRPr="00627972">
        <w:rPr>
          <w:sz w:val="24"/>
          <w:szCs w:val="24"/>
        </w:rPr>
        <w:t>murderous Machiave</w:t>
      </w:r>
      <w:r w:rsidR="000A6D1E" w:rsidRPr="00627972">
        <w:rPr>
          <w:sz w:val="24"/>
          <w:szCs w:val="24"/>
        </w:rPr>
        <w:t>l</w:t>
      </w:r>
      <w:r w:rsidR="0046312F" w:rsidRPr="00627972">
        <w:rPr>
          <w:sz w:val="24"/>
          <w:szCs w:val="24"/>
        </w:rPr>
        <w:t>’</w:t>
      </w:r>
      <w:r w:rsidR="000A6D1E" w:rsidRPr="00627972">
        <w:rPr>
          <w:sz w:val="24"/>
          <w:szCs w:val="24"/>
        </w:rPr>
        <w:t xml:space="preserve"> in Henry VI, Part III</w:t>
      </w:r>
      <w:r w:rsidR="00324419" w:rsidRPr="00627972">
        <w:rPr>
          <w:sz w:val="24"/>
          <w:szCs w:val="24"/>
        </w:rPr>
        <w:t>.</w:t>
      </w:r>
      <w:r w:rsidR="000A6D1E" w:rsidRPr="00627972">
        <w:rPr>
          <w:rStyle w:val="FootnoteReference"/>
          <w:sz w:val="24"/>
          <w:szCs w:val="24"/>
        </w:rPr>
        <w:footnoteReference w:id="5"/>
      </w:r>
      <w:r w:rsidR="009C3101" w:rsidRPr="00627972">
        <w:rPr>
          <w:sz w:val="24"/>
          <w:szCs w:val="24"/>
        </w:rPr>
        <w:t xml:space="preserve"> </w:t>
      </w:r>
      <w:r w:rsidR="00B07E1D" w:rsidRPr="00627972">
        <w:rPr>
          <w:i/>
          <w:iCs/>
          <w:sz w:val="24"/>
          <w:szCs w:val="24"/>
        </w:rPr>
        <w:t xml:space="preserve">The Prince </w:t>
      </w:r>
      <w:r w:rsidR="00B07E1D" w:rsidRPr="00627972">
        <w:rPr>
          <w:sz w:val="24"/>
          <w:szCs w:val="24"/>
        </w:rPr>
        <w:t xml:space="preserve">has also influenced </w:t>
      </w:r>
      <w:r w:rsidR="00C92E11" w:rsidRPr="00627972">
        <w:rPr>
          <w:sz w:val="24"/>
          <w:szCs w:val="24"/>
        </w:rPr>
        <w:t>historical research on soci</w:t>
      </w:r>
      <w:r w:rsidR="00307893" w:rsidRPr="00627972">
        <w:rPr>
          <w:sz w:val="24"/>
          <w:szCs w:val="24"/>
        </w:rPr>
        <w:t xml:space="preserve">al and </w:t>
      </w:r>
      <w:r w:rsidR="00C92E11" w:rsidRPr="00627972">
        <w:rPr>
          <w:sz w:val="24"/>
          <w:szCs w:val="24"/>
        </w:rPr>
        <w:t xml:space="preserve">political issues such as human nature, </w:t>
      </w:r>
      <w:r w:rsidR="00DF64B9" w:rsidRPr="00627972">
        <w:rPr>
          <w:sz w:val="24"/>
          <w:szCs w:val="24"/>
        </w:rPr>
        <w:t xml:space="preserve">since </w:t>
      </w:r>
      <w:r w:rsidR="00C81BCC" w:rsidRPr="00627972">
        <w:rPr>
          <w:sz w:val="24"/>
          <w:szCs w:val="24"/>
        </w:rPr>
        <w:t>its</w:t>
      </w:r>
      <w:r w:rsidR="00140217" w:rsidRPr="00627972">
        <w:rPr>
          <w:sz w:val="24"/>
          <w:szCs w:val="24"/>
        </w:rPr>
        <w:t xml:space="preserve"> publication</w:t>
      </w:r>
      <w:r w:rsidR="00C92E11" w:rsidRPr="00627972">
        <w:rPr>
          <w:sz w:val="24"/>
          <w:szCs w:val="24"/>
        </w:rPr>
        <w:t xml:space="preserve"> </w:t>
      </w:r>
      <w:r w:rsidR="009E6125" w:rsidRPr="00627972">
        <w:rPr>
          <w:sz w:val="24"/>
          <w:szCs w:val="24"/>
        </w:rPr>
        <w:t>‘</w:t>
      </w:r>
      <w:r w:rsidR="00667EED" w:rsidRPr="00627972">
        <w:rPr>
          <w:sz w:val="24"/>
          <w:szCs w:val="24"/>
        </w:rPr>
        <w:t>historians of political thought</w:t>
      </w:r>
      <w:r w:rsidR="00F02B2D" w:rsidRPr="00627972">
        <w:rPr>
          <w:sz w:val="24"/>
          <w:szCs w:val="24"/>
        </w:rPr>
        <w:t xml:space="preserve"> [have used it] </w:t>
      </w:r>
      <w:r w:rsidR="000937A4" w:rsidRPr="00627972">
        <w:rPr>
          <w:sz w:val="24"/>
          <w:szCs w:val="24"/>
        </w:rPr>
        <w:t>to level the change</w:t>
      </w:r>
      <w:r w:rsidR="00E56F49" w:rsidRPr="00627972">
        <w:rPr>
          <w:sz w:val="24"/>
          <w:szCs w:val="24"/>
        </w:rPr>
        <w:t xml:space="preserve"> </w:t>
      </w:r>
      <w:r w:rsidR="00140217" w:rsidRPr="00627972">
        <w:rPr>
          <w:sz w:val="24"/>
          <w:szCs w:val="24"/>
        </w:rPr>
        <w:t xml:space="preserve">that ancient </w:t>
      </w:r>
      <w:r w:rsidR="00307893" w:rsidRPr="00627972">
        <w:rPr>
          <w:sz w:val="24"/>
          <w:szCs w:val="24"/>
        </w:rPr>
        <w:t>writers</w:t>
      </w:r>
      <w:r w:rsidR="00140217" w:rsidRPr="00627972">
        <w:rPr>
          <w:sz w:val="24"/>
          <w:szCs w:val="24"/>
        </w:rPr>
        <w:t xml:space="preserve"> </w:t>
      </w:r>
      <w:r w:rsidR="00B0378A" w:rsidRPr="00627972">
        <w:rPr>
          <w:sz w:val="24"/>
          <w:szCs w:val="24"/>
        </w:rPr>
        <w:t>were too idealistic in their assessment of human behaviour’</w:t>
      </w:r>
      <w:r w:rsidR="00E56F49" w:rsidRPr="00627972">
        <w:rPr>
          <w:sz w:val="24"/>
          <w:szCs w:val="24"/>
        </w:rPr>
        <w:t xml:space="preserve">, </w:t>
      </w:r>
      <w:r w:rsidR="00A1081C" w:rsidRPr="00627972">
        <w:rPr>
          <w:sz w:val="24"/>
          <w:szCs w:val="24"/>
        </w:rPr>
        <w:t>and this</w:t>
      </w:r>
      <w:r w:rsidR="00E56F49" w:rsidRPr="00627972">
        <w:rPr>
          <w:sz w:val="24"/>
          <w:szCs w:val="24"/>
        </w:rPr>
        <w:t xml:space="preserve"> extended impact of Machiavelli’s work </w:t>
      </w:r>
      <w:r w:rsidR="007A3CE3" w:rsidRPr="00627972">
        <w:rPr>
          <w:sz w:val="24"/>
          <w:szCs w:val="24"/>
        </w:rPr>
        <w:t xml:space="preserve">reinforces its use as a historical source as it shapes modern thinking by addressing </w:t>
      </w:r>
      <w:r w:rsidR="007849EF" w:rsidRPr="00627972">
        <w:rPr>
          <w:sz w:val="24"/>
          <w:szCs w:val="24"/>
        </w:rPr>
        <w:t>current</w:t>
      </w:r>
      <w:r w:rsidR="00B05520" w:rsidRPr="00627972">
        <w:rPr>
          <w:sz w:val="24"/>
          <w:szCs w:val="24"/>
        </w:rPr>
        <w:t xml:space="preserve"> </w:t>
      </w:r>
      <w:r w:rsidR="007849EF" w:rsidRPr="00627972">
        <w:rPr>
          <w:sz w:val="24"/>
          <w:szCs w:val="24"/>
        </w:rPr>
        <w:t>socio-political structures.</w:t>
      </w:r>
      <w:r w:rsidR="00A81DC1" w:rsidRPr="00627972">
        <w:rPr>
          <w:rStyle w:val="FootnoteReference"/>
          <w:sz w:val="24"/>
          <w:szCs w:val="24"/>
        </w:rPr>
        <w:footnoteReference w:id="6"/>
      </w:r>
    </w:p>
    <w:p w14:paraId="32345A73" w14:textId="77777777" w:rsidR="007849EF" w:rsidRPr="00627972" w:rsidRDefault="007849EF" w:rsidP="00922F05">
      <w:pPr>
        <w:spacing w:line="480" w:lineRule="auto"/>
        <w:rPr>
          <w:sz w:val="24"/>
          <w:szCs w:val="24"/>
        </w:rPr>
      </w:pPr>
    </w:p>
    <w:p w14:paraId="52D61389" w14:textId="52695E84" w:rsidR="001362A0" w:rsidRPr="00627972" w:rsidRDefault="00D547BC" w:rsidP="00922F05">
      <w:pPr>
        <w:spacing w:line="480" w:lineRule="auto"/>
        <w:rPr>
          <w:sz w:val="24"/>
          <w:szCs w:val="24"/>
        </w:rPr>
      </w:pPr>
      <w:r w:rsidRPr="00627972">
        <w:rPr>
          <w:sz w:val="24"/>
          <w:szCs w:val="24"/>
        </w:rPr>
        <w:t xml:space="preserve">Within </w:t>
      </w:r>
      <w:r w:rsidRPr="00627972">
        <w:rPr>
          <w:i/>
          <w:iCs/>
          <w:sz w:val="24"/>
          <w:szCs w:val="24"/>
        </w:rPr>
        <w:t>The Prince</w:t>
      </w:r>
      <w:r w:rsidR="00A363C4" w:rsidRPr="00627972">
        <w:rPr>
          <w:i/>
          <w:iCs/>
          <w:sz w:val="24"/>
          <w:szCs w:val="24"/>
        </w:rPr>
        <w:t xml:space="preserve">, </w:t>
      </w:r>
      <w:r w:rsidR="00A363C4" w:rsidRPr="00627972">
        <w:rPr>
          <w:sz w:val="24"/>
          <w:szCs w:val="24"/>
        </w:rPr>
        <w:t xml:space="preserve">the princes are given </w:t>
      </w:r>
      <w:r w:rsidR="00674B26" w:rsidRPr="00627972">
        <w:rPr>
          <w:sz w:val="24"/>
          <w:szCs w:val="24"/>
        </w:rPr>
        <w:t>‘ornaments worthy of their high position’</w:t>
      </w:r>
      <w:r w:rsidR="009A33C0" w:rsidRPr="00627972">
        <w:rPr>
          <w:sz w:val="24"/>
          <w:szCs w:val="24"/>
        </w:rPr>
        <w:t>,</w:t>
      </w:r>
      <w:r w:rsidR="00674B26" w:rsidRPr="00627972">
        <w:rPr>
          <w:sz w:val="24"/>
          <w:szCs w:val="24"/>
        </w:rPr>
        <w:t xml:space="preserve"> suggesting that the princes, royalty, and these principalities were</w:t>
      </w:r>
      <w:r w:rsidR="00ED37BC" w:rsidRPr="00627972">
        <w:rPr>
          <w:sz w:val="24"/>
          <w:szCs w:val="24"/>
        </w:rPr>
        <w:t xml:space="preserve"> an integral </w:t>
      </w:r>
      <w:r w:rsidR="006A07BE" w:rsidRPr="00627972">
        <w:rPr>
          <w:sz w:val="24"/>
          <w:szCs w:val="24"/>
        </w:rPr>
        <w:t xml:space="preserve">part of </w:t>
      </w:r>
      <w:r w:rsidR="009C0D2F" w:rsidRPr="00627972">
        <w:rPr>
          <w:sz w:val="24"/>
          <w:szCs w:val="24"/>
        </w:rPr>
        <w:t xml:space="preserve">everyday </w:t>
      </w:r>
      <w:r w:rsidR="00511F78" w:rsidRPr="00627972">
        <w:rPr>
          <w:sz w:val="24"/>
          <w:szCs w:val="24"/>
        </w:rPr>
        <w:t>people’s</w:t>
      </w:r>
      <w:r w:rsidR="000016DE" w:rsidRPr="00627972">
        <w:rPr>
          <w:sz w:val="24"/>
          <w:szCs w:val="24"/>
        </w:rPr>
        <w:t xml:space="preserve"> lives and</w:t>
      </w:r>
      <w:r w:rsidR="00674B26" w:rsidRPr="00627972">
        <w:rPr>
          <w:sz w:val="24"/>
          <w:szCs w:val="24"/>
        </w:rPr>
        <w:t xml:space="preserve"> of high standing with gifts such as ‘</w:t>
      </w:r>
      <w:r w:rsidR="007256B6" w:rsidRPr="00627972">
        <w:rPr>
          <w:sz w:val="24"/>
          <w:szCs w:val="24"/>
        </w:rPr>
        <w:t>horses, weapons, cloth of gold, [and] precious stones’</w:t>
      </w:r>
      <w:r w:rsidR="0004110A" w:rsidRPr="00627972">
        <w:rPr>
          <w:sz w:val="24"/>
          <w:szCs w:val="24"/>
        </w:rPr>
        <w:t xml:space="preserve"> </w:t>
      </w:r>
      <w:r w:rsidR="007256B6" w:rsidRPr="00627972">
        <w:rPr>
          <w:sz w:val="24"/>
          <w:szCs w:val="24"/>
        </w:rPr>
        <w:t xml:space="preserve">with the </w:t>
      </w:r>
      <w:r w:rsidR="001318FF" w:rsidRPr="00627972">
        <w:rPr>
          <w:sz w:val="24"/>
          <w:szCs w:val="24"/>
        </w:rPr>
        <w:t>use of titles of respect such as ‘Your Magnificence’ throughout</w:t>
      </w:r>
      <w:r w:rsidR="000016DE" w:rsidRPr="00627972">
        <w:rPr>
          <w:sz w:val="24"/>
          <w:szCs w:val="24"/>
        </w:rPr>
        <w:t xml:space="preserve"> the extract</w:t>
      </w:r>
      <w:r w:rsidR="00324419" w:rsidRPr="00627972">
        <w:rPr>
          <w:sz w:val="24"/>
          <w:szCs w:val="24"/>
        </w:rPr>
        <w:t>.</w:t>
      </w:r>
      <w:r w:rsidR="009A33C0" w:rsidRPr="00627972">
        <w:rPr>
          <w:rStyle w:val="FootnoteReference"/>
          <w:sz w:val="24"/>
          <w:szCs w:val="24"/>
        </w:rPr>
        <w:footnoteReference w:id="7"/>
      </w:r>
      <w:r w:rsidR="009A33C0" w:rsidRPr="00627972">
        <w:rPr>
          <w:sz w:val="24"/>
          <w:szCs w:val="24"/>
        </w:rPr>
        <w:t xml:space="preserve"> M</w:t>
      </w:r>
      <w:r w:rsidR="004402D6" w:rsidRPr="00627972">
        <w:rPr>
          <w:sz w:val="24"/>
          <w:szCs w:val="24"/>
        </w:rPr>
        <w:t xml:space="preserve">achiavelli addresses </w:t>
      </w:r>
      <w:r w:rsidR="007F58AD" w:rsidRPr="00627972">
        <w:rPr>
          <w:sz w:val="24"/>
          <w:szCs w:val="24"/>
        </w:rPr>
        <w:t xml:space="preserve">several issues in court and </w:t>
      </w:r>
      <w:r w:rsidR="00EA56A9" w:rsidRPr="00627972">
        <w:rPr>
          <w:sz w:val="24"/>
          <w:szCs w:val="24"/>
        </w:rPr>
        <w:t>organising</w:t>
      </w:r>
      <w:r w:rsidR="007F58AD" w:rsidRPr="00627972">
        <w:rPr>
          <w:sz w:val="24"/>
          <w:szCs w:val="24"/>
        </w:rPr>
        <w:t xml:space="preserve"> a country, such as control over their </w:t>
      </w:r>
      <w:r w:rsidR="00C27191" w:rsidRPr="00627972">
        <w:rPr>
          <w:sz w:val="24"/>
          <w:szCs w:val="24"/>
        </w:rPr>
        <w:t>people and avoiding foreign invasion</w:t>
      </w:r>
      <w:r w:rsidR="00886494" w:rsidRPr="00627972">
        <w:rPr>
          <w:sz w:val="24"/>
          <w:szCs w:val="24"/>
        </w:rPr>
        <w:t xml:space="preserve">, alongside some </w:t>
      </w:r>
      <w:r w:rsidR="00886494" w:rsidRPr="00627972">
        <w:rPr>
          <w:sz w:val="24"/>
          <w:szCs w:val="24"/>
        </w:rPr>
        <w:lastRenderedPageBreak/>
        <w:t>observations in human nature that resemble ancient writers such as Aristotle</w:t>
      </w:r>
      <w:r w:rsidR="006B51F3" w:rsidRPr="00627972">
        <w:rPr>
          <w:sz w:val="24"/>
          <w:szCs w:val="24"/>
        </w:rPr>
        <w:t xml:space="preserve">, sharing the view that ‘human beings have been and always will be fundamentally the same’, which expands </w:t>
      </w:r>
      <w:r w:rsidR="00930C59" w:rsidRPr="00627972">
        <w:rPr>
          <w:sz w:val="24"/>
          <w:szCs w:val="24"/>
        </w:rPr>
        <w:t>social studies and social history with interaction and beliefs about human society</w:t>
      </w:r>
      <w:r w:rsidR="008D7A27" w:rsidRPr="00627972">
        <w:rPr>
          <w:sz w:val="24"/>
          <w:szCs w:val="24"/>
        </w:rPr>
        <w:t>, even in the 21</w:t>
      </w:r>
      <w:r w:rsidR="008D7A27" w:rsidRPr="00627972">
        <w:rPr>
          <w:sz w:val="24"/>
          <w:szCs w:val="24"/>
          <w:vertAlign w:val="superscript"/>
        </w:rPr>
        <w:t>st</w:t>
      </w:r>
      <w:r w:rsidR="008D7A27" w:rsidRPr="00627972">
        <w:rPr>
          <w:sz w:val="24"/>
          <w:szCs w:val="24"/>
        </w:rPr>
        <w:t xml:space="preserve"> century</w:t>
      </w:r>
      <w:r w:rsidR="00930C59" w:rsidRPr="00627972">
        <w:rPr>
          <w:sz w:val="24"/>
          <w:szCs w:val="24"/>
        </w:rPr>
        <w:t>.</w:t>
      </w:r>
      <w:r w:rsidR="00930C59" w:rsidRPr="00627972">
        <w:rPr>
          <w:rStyle w:val="FootnoteReference"/>
          <w:sz w:val="24"/>
          <w:szCs w:val="24"/>
        </w:rPr>
        <w:footnoteReference w:id="8"/>
      </w:r>
      <w:r w:rsidR="006B51F3" w:rsidRPr="00627972">
        <w:rPr>
          <w:sz w:val="24"/>
          <w:szCs w:val="24"/>
        </w:rPr>
        <w:t xml:space="preserve"> </w:t>
      </w:r>
      <w:r w:rsidR="00FE58E4" w:rsidRPr="00627972">
        <w:rPr>
          <w:sz w:val="24"/>
          <w:szCs w:val="24"/>
        </w:rPr>
        <w:t>Machiavelli</w:t>
      </w:r>
      <w:r w:rsidR="00400A68" w:rsidRPr="00627972">
        <w:rPr>
          <w:sz w:val="24"/>
          <w:szCs w:val="24"/>
        </w:rPr>
        <w:t xml:space="preserve">’s treatise </w:t>
      </w:r>
      <w:r w:rsidR="001F1E9C" w:rsidRPr="00627972">
        <w:rPr>
          <w:sz w:val="24"/>
          <w:szCs w:val="24"/>
        </w:rPr>
        <w:t xml:space="preserve">has </w:t>
      </w:r>
      <w:r w:rsidR="00587AB8" w:rsidRPr="00627972">
        <w:rPr>
          <w:sz w:val="24"/>
          <w:szCs w:val="24"/>
        </w:rPr>
        <w:t xml:space="preserve">developed </w:t>
      </w:r>
      <w:r w:rsidR="00A81DC1" w:rsidRPr="00627972">
        <w:rPr>
          <w:sz w:val="24"/>
          <w:szCs w:val="24"/>
        </w:rPr>
        <w:t xml:space="preserve">the </w:t>
      </w:r>
      <w:r w:rsidR="0082781E" w:rsidRPr="00627972">
        <w:rPr>
          <w:sz w:val="24"/>
          <w:szCs w:val="24"/>
        </w:rPr>
        <w:t>study of historical politics and study of human behaviours wi</w:t>
      </w:r>
      <w:r w:rsidR="004F615E" w:rsidRPr="00627972">
        <w:rPr>
          <w:sz w:val="24"/>
          <w:szCs w:val="24"/>
        </w:rPr>
        <w:t>th</w:t>
      </w:r>
      <w:r w:rsidR="0082781E" w:rsidRPr="00627972">
        <w:rPr>
          <w:sz w:val="24"/>
          <w:szCs w:val="24"/>
        </w:rPr>
        <w:t xml:space="preserve"> </w:t>
      </w:r>
      <w:r w:rsidR="00F463F7" w:rsidRPr="00627972">
        <w:rPr>
          <w:sz w:val="24"/>
          <w:szCs w:val="24"/>
        </w:rPr>
        <w:t>‘reflections of antiquity were based on the c</w:t>
      </w:r>
      <w:r w:rsidR="007517D1" w:rsidRPr="00627972">
        <w:rPr>
          <w:sz w:val="24"/>
          <w:szCs w:val="24"/>
        </w:rPr>
        <w:t>a</w:t>
      </w:r>
      <w:r w:rsidR="00F463F7" w:rsidRPr="00627972">
        <w:rPr>
          <w:sz w:val="24"/>
          <w:szCs w:val="24"/>
        </w:rPr>
        <w:t>price of imagination and are ineffectual for real-world guidance.’</w:t>
      </w:r>
      <w:r w:rsidR="00AF10B7" w:rsidRPr="00627972">
        <w:rPr>
          <w:rStyle w:val="FootnoteReference"/>
          <w:sz w:val="24"/>
          <w:szCs w:val="24"/>
        </w:rPr>
        <w:footnoteReference w:id="9"/>
      </w:r>
      <w:r w:rsidR="00C354FA" w:rsidRPr="00627972">
        <w:rPr>
          <w:sz w:val="24"/>
          <w:szCs w:val="24"/>
        </w:rPr>
        <w:t xml:space="preserve"> Reshaping and developing s</w:t>
      </w:r>
      <w:r w:rsidR="00981FEE" w:rsidRPr="00627972">
        <w:rPr>
          <w:sz w:val="24"/>
          <w:szCs w:val="24"/>
        </w:rPr>
        <w:t>ocial sciences and morality</w:t>
      </w:r>
      <w:r w:rsidR="006F182C" w:rsidRPr="00627972">
        <w:rPr>
          <w:sz w:val="24"/>
          <w:szCs w:val="24"/>
        </w:rPr>
        <w:t xml:space="preserve">, </w:t>
      </w:r>
      <w:r w:rsidR="009646FB" w:rsidRPr="00627972">
        <w:rPr>
          <w:sz w:val="24"/>
          <w:szCs w:val="24"/>
        </w:rPr>
        <w:t xml:space="preserve">influencing literature </w:t>
      </w:r>
      <w:r w:rsidR="00567F45" w:rsidRPr="00627972">
        <w:rPr>
          <w:sz w:val="24"/>
          <w:szCs w:val="24"/>
        </w:rPr>
        <w:t xml:space="preserve">with </w:t>
      </w:r>
      <w:r w:rsidR="00393E09" w:rsidRPr="00627972">
        <w:rPr>
          <w:sz w:val="24"/>
          <w:szCs w:val="24"/>
        </w:rPr>
        <w:t xml:space="preserve">Machiavellian characters such as </w:t>
      </w:r>
      <w:r w:rsidR="00DB58C2" w:rsidRPr="00627972">
        <w:rPr>
          <w:sz w:val="24"/>
          <w:szCs w:val="24"/>
        </w:rPr>
        <w:t>Iago from Shakespeare’s Othello, and television with Lord Varys and Lord Baelish in Game of Thrones</w:t>
      </w:r>
      <w:r w:rsidR="00594EE6" w:rsidRPr="00627972">
        <w:rPr>
          <w:sz w:val="24"/>
          <w:szCs w:val="24"/>
        </w:rPr>
        <w:t xml:space="preserve">, </w:t>
      </w:r>
      <w:r w:rsidR="008D7A27" w:rsidRPr="00627972">
        <w:rPr>
          <w:sz w:val="24"/>
          <w:szCs w:val="24"/>
        </w:rPr>
        <w:t>emphasising</w:t>
      </w:r>
      <w:r w:rsidR="00594EE6" w:rsidRPr="00627972">
        <w:rPr>
          <w:sz w:val="24"/>
          <w:szCs w:val="24"/>
        </w:rPr>
        <w:t xml:space="preserve"> its</w:t>
      </w:r>
      <w:r w:rsidR="00393E09" w:rsidRPr="00627972">
        <w:rPr>
          <w:sz w:val="24"/>
          <w:szCs w:val="24"/>
        </w:rPr>
        <w:t xml:space="preserve"> prominence within</w:t>
      </w:r>
      <w:r w:rsidR="00594EE6" w:rsidRPr="00627972">
        <w:rPr>
          <w:sz w:val="24"/>
          <w:szCs w:val="24"/>
        </w:rPr>
        <w:t xml:space="preserve"> the </w:t>
      </w:r>
      <w:r w:rsidR="008D7A27" w:rsidRPr="00627972">
        <w:rPr>
          <w:sz w:val="24"/>
          <w:szCs w:val="24"/>
        </w:rPr>
        <w:t>1</w:t>
      </w:r>
      <w:r w:rsidR="00393E09" w:rsidRPr="00627972">
        <w:rPr>
          <w:sz w:val="24"/>
          <w:szCs w:val="24"/>
        </w:rPr>
        <w:t>7</w:t>
      </w:r>
      <w:r w:rsidR="008D7A27" w:rsidRPr="00627972">
        <w:rPr>
          <w:sz w:val="24"/>
          <w:szCs w:val="24"/>
          <w:vertAlign w:val="superscript"/>
        </w:rPr>
        <w:t>th</w:t>
      </w:r>
      <w:r w:rsidR="008D7A27" w:rsidRPr="00627972">
        <w:rPr>
          <w:sz w:val="24"/>
          <w:szCs w:val="24"/>
        </w:rPr>
        <w:t xml:space="preserve"> century through to the 21</w:t>
      </w:r>
      <w:r w:rsidR="008D7A27" w:rsidRPr="00627972">
        <w:rPr>
          <w:sz w:val="24"/>
          <w:szCs w:val="24"/>
          <w:vertAlign w:val="superscript"/>
        </w:rPr>
        <w:t>st</w:t>
      </w:r>
      <w:r w:rsidR="008D7A27" w:rsidRPr="00627972">
        <w:rPr>
          <w:sz w:val="24"/>
          <w:szCs w:val="24"/>
        </w:rPr>
        <w:t xml:space="preserve"> century</w:t>
      </w:r>
      <w:r w:rsidR="006151CC" w:rsidRPr="00627972">
        <w:rPr>
          <w:sz w:val="24"/>
          <w:szCs w:val="24"/>
        </w:rPr>
        <w:t xml:space="preserve">. </w:t>
      </w:r>
      <w:r w:rsidR="001E1BFF" w:rsidRPr="00627972">
        <w:rPr>
          <w:sz w:val="24"/>
          <w:szCs w:val="24"/>
        </w:rPr>
        <w:t xml:space="preserve">Machiavellian characters </w:t>
      </w:r>
      <w:r w:rsidR="001F6A62" w:rsidRPr="00627972">
        <w:rPr>
          <w:sz w:val="24"/>
          <w:szCs w:val="24"/>
        </w:rPr>
        <w:t xml:space="preserve">are ’motivated by </w:t>
      </w:r>
      <w:r w:rsidR="007C52F0" w:rsidRPr="00627972">
        <w:rPr>
          <w:sz w:val="24"/>
          <w:szCs w:val="24"/>
        </w:rPr>
        <w:t>selfishness, immune to reason and persuasion,’</w:t>
      </w:r>
      <w:r w:rsidR="007C52F0" w:rsidRPr="00627972">
        <w:rPr>
          <w:rStyle w:val="FootnoteReference"/>
          <w:sz w:val="24"/>
          <w:szCs w:val="24"/>
        </w:rPr>
        <w:footnoteReference w:id="10"/>
      </w:r>
      <w:r w:rsidR="007C52F0" w:rsidRPr="00627972">
        <w:rPr>
          <w:sz w:val="24"/>
          <w:szCs w:val="24"/>
        </w:rPr>
        <w:t xml:space="preserve"> </w:t>
      </w:r>
      <w:r w:rsidR="00BD6589" w:rsidRPr="00627972">
        <w:rPr>
          <w:sz w:val="24"/>
          <w:szCs w:val="24"/>
        </w:rPr>
        <w:t xml:space="preserve">manipulate </w:t>
      </w:r>
      <w:r w:rsidR="00F25403" w:rsidRPr="00627972">
        <w:rPr>
          <w:sz w:val="24"/>
          <w:szCs w:val="24"/>
        </w:rPr>
        <w:t xml:space="preserve">others and thrive in uncertainty, </w:t>
      </w:r>
      <w:r w:rsidR="00B959B6" w:rsidRPr="00627972">
        <w:rPr>
          <w:sz w:val="24"/>
          <w:szCs w:val="24"/>
        </w:rPr>
        <w:t xml:space="preserve">with Lord Baelish believing that </w:t>
      </w:r>
      <w:r w:rsidR="00F25403" w:rsidRPr="00627972">
        <w:rPr>
          <w:sz w:val="24"/>
          <w:szCs w:val="24"/>
        </w:rPr>
        <w:t>‘Chaos isn’t a pit. Chaos is a ladder.’</w:t>
      </w:r>
      <w:r w:rsidR="00F25403" w:rsidRPr="00627972">
        <w:rPr>
          <w:rStyle w:val="FootnoteReference"/>
          <w:sz w:val="24"/>
          <w:szCs w:val="24"/>
        </w:rPr>
        <w:footnoteReference w:id="11"/>
      </w:r>
      <w:r w:rsidR="00F37A77" w:rsidRPr="00627972">
        <w:rPr>
          <w:sz w:val="24"/>
          <w:szCs w:val="24"/>
        </w:rPr>
        <w:t xml:space="preserve"> This manipulation is presented in </w:t>
      </w:r>
      <w:r w:rsidR="00F37A77" w:rsidRPr="00627972">
        <w:rPr>
          <w:i/>
          <w:iCs/>
          <w:sz w:val="24"/>
          <w:szCs w:val="24"/>
        </w:rPr>
        <w:t>The Prince</w:t>
      </w:r>
      <w:r w:rsidR="00C90337" w:rsidRPr="00627972">
        <w:rPr>
          <w:i/>
          <w:iCs/>
          <w:sz w:val="24"/>
          <w:szCs w:val="24"/>
        </w:rPr>
        <w:t xml:space="preserve"> </w:t>
      </w:r>
      <w:r w:rsidR="00C85F18" w:rsidRPr="00627972">
        <w:rPr>
          <w:sz w:val="24"/>
          <w:szCs w:val="24"/>
        </w:rPr>
        <w:t>within c</w:t>
      </w:r>
      <w:r w:rsidR="00B35BDA" w:rsidRPr="00627972">
        <w:rPr>
          <w:sz w:val="24"/>
          <w:szCs w:val="24"/>
        </w:rPr>
        <w:t>hapter 17</w:t>
      </w:r>
      <w:r w:rsidR="00C85F18" w:rsidRPr="00627972">
        <w:rPr>
          <w:sz w:val="24"/>
          <w:szCs w:val="24"/>
        </w:rPr>
        <w:t xml:space="preserve">, as </w:t>
      </w:r>
      <w:r w:rsidR="000058ED" w:rsidRPr="00627972">
        <w:rPr>
          <w:sz w:val="24"/>
          <w:szCs w:val="24"/>
        </w:rPr>
        <w:t>Machiavelli</w:t>
      </w:r>
      <w:r w:rsidR="00A90930" w:rsidRPr="00627972">
        <w:rPr>
          <w:sz w:val="24"/>
          <w:szCs w:val="24"/>
        </w:rPr>
        <w:t xml:space="preserve"> </w:t>
      </w:r>
      <w:r w:rsidR="007755C5" w:rsidRPr="00627972">
        <w:rPr>
          <w:sz w:val="24"/>
          <w:szCs w:val="24"/>
        </w:rPr>
        <w:t>discusses cruelty and compassion</w:t>
      </w:r>
      <w:r w:rsidR="000E7E72" w:rsidRPr="00627972">
        <w:rPr>
          <w:sz w:val="24"/>
          <w:szCs w:val="24"/>
        </w:rPr>
        <w:t xml:space="preserve">, with the prince not having to </w:t>
      </w:r>
      <w:r w:rsidR="00230A1A" w:rsidRPr="00627972">
        <w:rPr>
          <w:sz w:val="24"/>
          <w:szCs w:val="24"/>
        </w:rPr>
        <w:t xml:space="preserve">worry ‘if he incurs </w:t>
      </w:r>
      <w:r w:rsidR="00C020EB" w:rsidRPr="00627972">
        <w:rPr>
          <w:sz w:val="24"/>
          <w:szCs w:val="24"/>
        </w:rPr>
        <w:t>reproach for his cruelty</w:t>
      </w:r>
      <w:r w:rsidR="00B05520" w:rsidRPr="00627972">
        <w:rPr>
          <w:sz w:val="24"/>
          <w:szCs w:val="24"/>
        </w:rPr>
        <w:t>’</w:t>
      </w:r>
      <w:r w:rsidR="00C020EB" w:rsidRPr="00627972">
        <w:rPr>
          <w:sz w:val="24"/>
          <w:szCs w:val="24"/>
        </w:rPr>
        <w:t xml:space="preserve"> </w:t>
      </w:r>
      <w:r w:rsidR="00B05520" w:rsidRPr="00627972">
        <w:rPr>
          <w:sz w:val="24"/>
          <w:szCs w:val="24"/>
        </w:rPr>
        <w:t xml:space="preserve">advising to focus on </w:t>
      </w:r>
      <w:r w:rsidR="00E33C53" w:rsidRPr="00627972">
        <w:rPr>
          <w:sz w:val="24"/>
          <w:szCs w:val="24"/>
        </w:rPr>
        <w:t>keeping subjects</w:t>
      </w:r>
      <w:r w:rsidR="00C85A0E" w:rsidRPr="00627972">
        <w:rPr>
          <w:sz w:val="24"/>
          <w:szCs w:val="24"/>
        </w:rPr>
        <w:t xml:space="preserve"> </w:t>
      </w:r>
      <w:r w:rsidR="00E33C53" w:rsidRPr="00627972">
        <w:rPr>
          <w:sz w:val="24"/>
          <w:szCs w:val="24"/>
        </w:rPr>
        <w:t>‘</w:t>
      </w:r>
      <w:r w:rsidR="00C85A0E" w:rsidRPr="00627972">
        <w:rPr>
          <w:sz w:val="24"/>
          <w:szCs w:val="24"/>
        </w:rPr>
        <w:t xml:space="preserve">united and loyal’, prioritising loyalty over compassion </w:t>
      </w:r>
      <w:r w:rsidR="00FF526C" w:rsidRPr="00627972">
        <w:rPr>
          <w:sz w:val="24"/>
          <w:szCs w:val="24"/>
        </w:rPr>
        <w:t xml:space="preserve">by </w:t>
      </w:r>
      <w:r w:rsidR="008C5D45" w:rsidRPr="00627972">
        <w:rPr>
          <w:sz w:val="24"/>
          <w:szCs w:val="24"/>
        </w:rPr>
        <w:t>‘making an example or two</w:t>
      </w:r>
      <w:r w:rsidR="00E33C53" w:rsidRPr="00627972">
        <w:rPr>
          <w:sz w:val="24"/>
          <w:szCs w:val="24"/>
        </w:rPr>
        <w:t xml:space="preserve">’ </w:t>
      </w:r>
      <w:r w:rsidR="002A13AB" w:rsidRPr="00627972">
        <w:rPr>
          <w:sz w:val="24"/>
          <w:szCs w:val="24"/>
        </w:rPr>
        <w:t xml:space="preserve">preventing uprisings </w:t>
      </w:r>
      <w:r w:rsidR="00957903" w:rsidRPr="00627972">
        <w:rPr>
          <w:sz w:val="24"/>
          <w:szCs w:val="24"/>
        </w:rPr>
        <w:t xml:space="preserve">with the focus on being </w:t>
      </w:r>
      <w:r w:rsidR="009C6D91" w:rsidRPr="00627972">
        <w:rPr>
          <w:sz w:val="24"/>
          <w:szCs w:val="24"/>
        </w:rPr>
        <w:t xml:space="preserve">both </w:t>
      </w:r>
      <w:r w:rsidR="00957903" w:rsidRPr="00627972">
        <w:rPr>
          <w:sz w:val="24"/>
          <w:szCs w:val="24"/>
        </w:rPr>
        <w:t>feared an</w:t>
      </w:r>
      <w:r w:rsidR="009C6D91" w:rsidRPr="00627972">
        <w:rPr>
          <w:sz w:val="24"/>
          <w:szCs w:val="24"/>
        </w:rPr>
        <w:t>d</w:t>
      </w:r>
      <w:r w:rsidR="00957903" w:rsidRPr="00627972">
        <w:rPr>
          <w:sz w:val="24"/>
          <w:szCs w:val="24"/>
        </w:rPr>
        <w:t xml:space="preserve"> respected </w:t>
      </w:r>
      <w:r w:rsidR="003E01DA" w:rsidRPr="00627972">
        <w:rPr>
          <w:sz w:val="24"/>
          <w:szCs w:val="24"/>
        </w:rPr>
        <w:t>rather than being loved</w:t>
      </w:r>
      <w:r w:rsidR="002F7229" w:rsidRPr="00627972">
        <w:rPr>
          <w:sz w:val="24"/>
          <w:szCs w:val="24"/>
        </w:rPr>
        <w:t>.</w:t>
      </w:r>
      <w:r w:rsidR="00A576BC" w:rsidRPr="00627972">
        <w:rPr>
          <w:rStyle w:val="FootnoteReference"/>
          <w:sz w:val="24"/>
          <w:szCs w:val="24"/>
        </w:rPr>
        <w:footnoteReference w:id="12"/>
      </w:r>
      <w:r w:rsidR="00F31210" w:rsidRPr="00627972">
        <w:rPr>
          <w:sz w:val="24"/>
          <w:szCs w:val="24"/>
        </w:rPr>
        <w:t xml:space="preserve"> </w:t>
      </w:r>
    </w:p>
    <w:p w14:paraId="10C1E827" w14:textId="77777777" w:rsidR="00B071E7" w:rsidRPr="00627972" w:rsidRDefault="00B071E7" w:rsidP="00922F05">
      <w:pPr>
        <w:spacing w:line="480" w:lineRule="auto"/>
        <w:rPr>
          <w:sz w:val="24"/>
          <w:szCs w:val="24"/>
        </w:rPr>
      </w:pPr>
    </w:p>
    <w:p w14:paraId="57AA508C" w14:textId="620A7C80" w:rsidR="009B1C99" w:rsidRPr="00627972" w:rsidRDefault="004329C2" w:rsidP="00922F05">
      <w:pPr>
        <w:spacing w:line="480" w:lineRule="auto"/>
        <w:rPr>
          <w:sz w:val="24"/>
          <w:szCs w:val="24"/>
        </w:rPr>
      </w:pPr>
      <w:r w:rsidRPr="00627972">
        <w:rPr>
          <w:sz w:val="24"/>
          <w:szCs w:val="24"/>
        </w:rPr>
        <w:t>Machiavelli advis</w:t>
      </w:r>
      <w:r w:rsidR="0046312F" w:rsidRPr="00627972">
        <w:rPr>
          <w:sz w:val="24"/>
          <w:szCs w:val="24"/>
        </w:rPr>
        <w:t>es</w:t>
      </w:r>
      <w:r w:rsidRPr="00627972">
        <w:rPr>
          <w:sz w:val="24"/>
          <w:szCs w:val="24"/>
        </w:rPr>
        <w:t xml:space="preserve"> that the princes ‘read history… </w:t>
      </w:r>
      <w:r w:rsidR="00C27544" w:rsidRPr="00627972">
        <w:rPr>
          <w:sz w:val="24"/>
          <w:szCs w:val="24"/>
        </w:rPr>
        <w:t>[</w:t>
      </w:r>
      <w:r w:rsidR="00DF6770" w:rsidRPr="00627972">
        <w:rPr>
          <w:sz w:val="24"/>
          <w:szCs w:val="24"/>
        </w:rPr>
        <w:t xml:space="preserve">and </w:t>
      </w:r>
      <w:r w:rsidR="00C27544" w:rsidRPr="00627972">
        <w:rPr>
          <w:sz w:val="24"/>
          <w:szCs w:val="24"/>
        </w:rPr>
        <w:t>learn from</w:t>
      </w:r>
      <w:r w:rsidR="0046312F" w:rsidRPr="00627972">
        <w:rPr>
          <w:sz w:val="24"/>
          <w:szCs w:val="24"/>
        </w:rPr>
        <w:t xml:space="preserve"> others</w:t>
      </w:r>
      <w:r w:rsidR="00C27544" w:rsidRPr="00627972">
        <w:rPr>
          <w:sz w:val="24"/>
          <w:szCs w:val="24"/>
        </w:rPr>
        <w:t xml:space="preserve">] </w:t>
      </w:r>
      <w:r w:rsidRPr="00627972">
        <w:rPr>
          <w:sz w:val="24"/>
          <w:szCs w:val="24"/>
        </w:rPr>
        <w:t>victories or their defeats’</w:t>
      </w:r>
      <w:r w:rsidR="006167AF" w:rsidRPr="00627972">
        <w:rPr>
          <w:sz w:val="24"/>
          <w:szCs w:val="24"/>
        </w:rPr>
        <w:t>,</w:t>
      </w:r>
      <w:r w:rsidRPr="00627972">
        <w:rPr>
          <w:sz w:val="24"/>
          <w:szCs w:val="24"/>
        </w:rPr>
        <w:t xml:space="preserve"> learn</w:t>
      </w:r>
      <w:r w:rsidR="004B4030" w:rsidRPr="00627972">
        <w:rPr>
          <w:sz w:val="24"/>
          <w:szCs w:val="24"/>
        </w:rPr>
        <w:t>ing</w:t>
      </w:r>
      <w:r w:rsidRPr="00627972">
        <w:rPr>
          <w:sz w:val="24"/>
          <w:szCs w:val="24"/>
        </w:rPr>
        <w:t xml:space="preserve"> from </w:t>
      </w:r>
      <w:r w:rsidR="004B4030" w:rsidRPr="00627972">
        <w:rPr>
          <w:sz w:val="24"/>
          <w:szCs w:val="24"/>
        </w:rPr>
        <w:t>historical figures</w:t>
      </w:r>
      <w:r w:rsidRPr="00627972">
        <w:rPr>
          <w:sz w:val="24"/>
          <w:szCs w:val="24"/>
        </w:rPr>
        <w:t xml:space="preserve"> </w:t>
      </w:r>
      <w:r w:rsidR="006167AF" w:rsidRPr="00627972">
        <w:rPr>
          <w:sz w:val="24"/>
          <w:szCs w:val="24"/>
        </w:rPr>
        <w:t xml:space="preserve">to </w:t>
      </w:r>
      <w:r w:rsidRPr="00627972">
        <w:rPr>
          <w:sz w:val="24"/>
          <w:szCs w:val="24"/>
        </w:rPr>
        <w:t>develop the</w:t>
      </w:r>
      <w:r w:rsidR="00DF6770" w:rsidRPr="00627972">
        <w:rPr>
          <w:sz w:val="24"/>
          <w:szCs w:val="24"/>
        </w:rPr>
        <w:t xml:space="preserve"> prince’s</w:t>
      </w:r>
      <w:r w:rsidRPr="00627972">
        <w:rPr>
          <w:sz w:val="24"/>
          <w:szCs w:val="24"/>
        </w:rPr>
        <w:t xml:space="preserve"> military organisation and techniques, as ‘Alexander the Great imitated Achilles; Ceaser imitated Alexander…’</w:t>
      </w:r>
      <w:r w:rsidRPr="00627972">
        <w:rPr>
          <w:rStyle w:val="FootnoteReference"/>
          <w:sz w:val="24"/>
          <w:szCs w:val="24"/>
        </w:rPr>
        <w:footnoteReference w:id="13"/>
      </w:r>
      <w:r w:rsidRPr="00627972">
        <w:rPr>
          <w:sz w:val="24"/>
          <w:szCs w:val="24"/>
        </w:rPr>
        <w:t xml:space="preserve"> </w:t>
      </w:r>
      <w:r w:rsidR="004D5F84" w:rsidRPr="00627972">
        <w:rPr>
          <w:sz w:val="24"/>
          <w:szCs w:val="24"/>
        </w:rPr>
        <w:t>Machia</w:t>
      </w:r>
      <w:r w:rsidR="008D1CB2" w:rsidRPr="00627972">
        <w:rPr>
          <w:sz w:val="24"/>
          <w:szCs w:val="24"/>
        </w:rPr>
        <w:t>velli’s example</w:t>
      </w:r>
      <w:r w:rsidR="004718E9" w:rsidRPr="00627972">
        <w:rPr>
          <w:sz w:val="24"/>
          <w:szCs w:val="24"/>
        </w:rPr>
        <w:t>s</w:t>
      </w:r>
      <w:r w:rsidR="008D1CB2" w:rsidRPr="00627972">
        <w:rPr>
          <w:sz w:val="24"/>
          <w:szCs w:val="24"/>
        </w:rPr>
        <w:t xml:space="preserve"> of </w:t>
      </w:r>
      <w:r w:rsidR="00BB7ACA" w:rsidRPr="00627972">
        <w:rPr>
          <w:sz w:val="24"/>
          <w:szCs w:val="24"/>
        </w:rPr>
        <w:t xml:space="preserve">leaders of antiquity along with </w:t>
      </w:r>
      <w:r w:rsidR="00E703E3" w:rsidRPr="00627972">
        <w:rPr>
          <w:sz w:val="24"/>
          <w:szCs w:val="24"/>
        </w:rPr>
        <w:t>Hannibal, who was ‘feared and respected’</w:t>
      </w:r>
      <w:r w:rsidR="00DD4E55" w:rsidRPr="00627972">
        <w:rPr>
          <w:rStyle w:val="FootnoteReference"/>
          <w:sz w:val="24"/>
          <w:szCs w:val="24"/>
        </w:rPr>
        <w:footnoteReference w:id="14"/>
      </w:r>
      <w:r w:rsidR="00E703E3" w:rsidRPr="00627972">
        <w:rPr>
          <w:sz w:val="24"/>
          <w:szCs w:val="24"/>
        </w:rPr>
        <w:t xml:space="preserve"> </w:t>
      </w:r>
      <w:r w:rsidR="00DD4E55" w:rsidRPr="00627972">
        <w:rPr>
          <w:sz w:val="24"/>
          <w:szCs w:val="24"/>
        </w:rPr>
        <w:t xml:space="preserve">with his military success </w:t>
      </w:r>
      <w:r w:rsidR="00152704" w:rsidRPr="00627972">
        <w:rPr>
          <w:sz w:val="24"/>
          <w:szCs w:val="24"/>
        </w:rPr>
        <w:t xml:space="preserve">being </w:t>
      </w:r>
      <w:r w:rsidR="00DD4E55" w:rsidRPr="00627972">
        <w:rPr>
          <w:sz w:val="24"/>
          <w:szCs w:val="24"/>
        </w:rPr>
        <w:t>attributed to his ‘boldness’, willingness to learn, his people skills and military tactics.</w:t>
      </w:r>
      <w:r w:rsidR="00DD4E55" w:rsidRPr="00627972">
        <w:rPr>
          <w:rStyle w:val="FootnoteReference"/>
          <w:sz w:val="24"/>
          <w:szCs w:val="24"/>
        </w:rPr>
        <w:footnoteReference w:id="15"/>
      </w:r>
      <w:r w:rsidR="00152704" w:rsidRPr="00627972">
        <w:rPr>
          <w:sz w:val="24"/>
          <w:szCs w:val="24"/>
        </w:rPr>
        <w:t xml:space="preserve"> Creating a strong foundation for the young princes to follow</w:t>
      </w:r>
      <w:r w:rsidR="001A23BD" w:rsidRPr="00627972">
        <w:rPr>
          <w:sz w:val="24"/>
          <w:szCs w:val="24"/>
        </w:rPr>
        <w:t xml:space="preserve">, with </w:t>
      </w:r>
      <w:r w:rsidR="005C6173" w:rsidRPr="00627972">
        <w:rPr>
          <w:sz w:val="24"/>
          <w:szCs w:val="24"/>
        </w:rPr>
        <w:t>the</w:t>
      </w:r>
      <w:r w:rsidR="001A23BD" w:rsidRPr="00627972">
        <w:rPr>
          <w:sz w:val="24"/>
          <w:szCs w:val="24"/>
        </w:rPr>
        <w:t xml:space="preserve"> study </w:t>
      </w:r>
      <w:r w:rsidR="005C6173" w:rsidRPr="00627972">
        <w:rPr>
          <w:sz w:val="24"/>
          <w:szCs w:val="24"/>
        </w:rPr>
        <w:t xml:space="preserve">of vernacular people and tradition Hannibal remained ‘fresh, fluid </w:t>
      </w:r>
      <w:r w:rsidR="005C6173" w:rsidRPr="00627972">
        <w:rPr>
          <w:sz w:val="24"/>
          <w:szCs w:val="24"/>
        </w:rPr>
        <w:lastRenderedPageBreak/>
        <w:t>and innovative in his tactics.’</w:t>
      </w:r>
      <w:r w:rsidR="005F63C5" w:rsidRPr="00627972">
        <w:rPr>
          <w:sz w:val="24"/>
          <w:szCs w:val="24"/>
        </w:rPr>
        <w:t>, and exploiting enemy commander’s weaknesses ‘to entice them into a tactical position [to] destroy them</w:t>
      </w:r>
      <w:r w:rsidR="00AC5FCA" w:rsidRPr="00627972">
        <w:rPr>
          <w:sz w:val="24"/>
          <w:szCs w:val="24"/>
        </w:rPr>
        <w:t>.’</w:t>
      </w:r>
      <w:r w:rsidR="00AC5FCA" w:rsidRPr="00627972">
        <w:rPr>
          <w:rStyle w:val="FootnoteReference"/>
          <w:sz w:val="24"/>
          <w:szCs w:val="24"/>
        </w:rPr>
        <w:footnoteReference w:id="16"/>
      </w:r>
      <w:r w:rsidR="00AC5FCA" w:rsidRPr="00627972">
        <w:rPr>
          <w:sz w:val="24"/>
          <w:szCs w:val="24"/>
        </w:rPr>
        <w:t xml:space="preserve"> </w:t>
      </w:r>
      <w:r w:rsidR="00AC748E" w:rsidRPr="00627972">
        <w:rPr>
          <w:sz w:val="24"/>
          <w:szCs w:val="24"/>
        </w:rPr>
        <w:t>Machiavelli</w:t>
      </w:r>
      <w:r w:rsidR="00703B62" w:rsidRPr="00627972">
        <w:rPr>
          <w:sz w:val="24"/>
          <w:szCs w:val="24"/>
        </w:rPr>
        <w:t xml:space="preserve">’s use of these figures </w:t>
      </w:r>
      <w:r w:rsidR="00400087" w:rsidRPr="00627972">
        <w:rPr>
          <w:sz w:val="24"/>
          <w:szCs w:val="24"/>
        </w:rPr>
        <w:t xml:space="preserve">extends </w:t>
      </w:r>
      <w:r w:rsidR="00400087" w:rsidRPr="00627972">
        <w:rPr>
          <w:i/>
          <w:iCs/>
          <w:sz w:val="24"/>
          <w:szCs w:val="24"/>
        </w:rPr>
        <w:t>The Prince</w:t>
      </w:r>
      <w:r w:rsidR="00400087" w:rsidRPr="00627972">
        <w:rPr>
          <w:sz w:val="24"/>
          <w:szCs w:val="24"/>
        </w:rPr>
        <w:t xml:space="preserve">’s use </w:t>
      </w:r>
      <w:r w:rsidR="00A16F00" w:rsidRPr="00627972">
        <w:rPr>
          <w:sz w:val="24"/>
          <w:szCs w:val="24"/>
        </w:rPr>
        <w:t xml:space="preserve">and importance </w:t>
      </w:r>
      <w:r w:rsidR="00400087" w:rsidRPr="00627972">
        <w:rPr>
          <w:sz w:val="24"/>
          <w:szCs w:val="24"/>
        </w:rPr>
        <w:t>as a</w:t>
      </w:r>
      <w:r w:rsidR="004D6F46" w:rsidRPr="00627972">
        <w:rPr>
          <w:sz w:val="24"/>
          <w:szCs w:val="24"/>
        </w:rPr>
        <w:t>n</w:t>
      </w:r>
      <w:r w:rsidR="00400087" w:rsidRPr="00627972">
        <w:rPr>
          <w:sz w:val="24"/>
          <w:szCs w:val="24"/>
        </w:rPr>
        <w:t xml:space="preserve"> historical </w:t>
      </w:r>
      <w:r w:rsidR="00A16F00" w:rsidRPr="00627972">
        <w:rPr>
          <w:sz w:val="24"/>
          <w:szCs w:val="24"/>
        </w:rPr>
        <w:t xml:space="preserve">document </w:t>
      </w:r>
      <w:r w:rsidR="007439A4" w:rsidRPr="00627972">
        <w:rPr>
          <w:sz w:val="24"/>
          <w:szCs w:val="24"/>
        </w:rPr>
        <w:t xml:space="preserve">in military and political history, influencing </w:t>
      </w:r>
      <w:r w:rsidR="00555D20" w:rsidRPr="00627972">
        <w:rPr>
          <w:sz w:val="24"/>
          <w:szCs w:val="24"/>
        </w:rPr>
        <w:t>16</w:t>
      </w:r>
      <w:r w:rsidR="00555D20" w:rsidRPr="00627972">
        <w:rPr>
          <w:sz w:val="24"/>
          <w:szCs w:val="24"/>
          <w:vertAlign w:val="superscript"/>
        </w:rPr>
        <w:t>th</w:t>
      </w:r>
      <w:r w:rsidR="00555D20" w:rsidRPr="00627972">
        <w:rPr>
          <w:sz w:val="24"/>
          <w:szCs w:val="24"/>
        </w:rPr>
        <w:t xml:space="preserve"> century Italian politics </w:t>
      </w:r>
      <w:r w:rsidR="007439A4" w:rsidRPr="00627972">
        <w:rPr>
          <w:sz w:val="24"/>
          <w:szCs w:val="24"/>
        </w:rPr>
        <w:t xml:space="preserve">and </w:t>
      </w:r>
      <w:r w:rsidR="00555D20" w:rsidRPr="00627972">
        <w:rPr>
          <w:sz w:val="24"/>
          <w:szCs w:val="24"/>
        </w:rPr>
        <w:t xml:space="preserve">contemporary research </w:t>
      </w:r>
      <w:r w:rsidR="00717D78" w:rsidRPr="00627972">
        <w:rPr>
          <w:sz w:val="24"/>
          <w:szCs w:val="24"/>
        </w:rPr>
        <w:t>in societal structure and organisation at the time</w:t>
      </w:r>
      <w:r w:rsidR="00DD4E55" w:rsidRPr="00627972">
        <w:rPr>
          <w:sz w:val="24"/>
          <w:szCs w:val="24"/>
        </w:rPr>
        <w:t xml:space="preserve">, moving </w:t>
      </w:r>
      <w:r w:rsidR="00F61B32" w:rsidRPr="00627972">
        <w:rPr>
          <w:sz w:val="24"/>
          <w:szCs w:val="24"/>
        </w:rPr>
        <w:t xml:space="preserve">focus away from republics and towards </w:t>
      </w:r>
      <w:r w:rsidR="00BB3C7F" w:rsidRPr="00627972">
        <w:rPr>
          <w:sz w:val="24"/>
          <w:szCs w:val="24"/>
        </w:rPr>
        <w:t>principalities.</w:t>
      </w:r>
      <w:r w:rsidR="00661F20" w:rsidRPr="00627972">
        <w:rPr>
          <w:sz w:val="24"/>
          <w:szCs w:val="24"/>
        </w:rPr>
        <w:t xml:space="preserve"> </w:t>
      </w:r>
      <w:r w:rsidR="00C27B35" w:rsidRPr="00627972">
        <w:rPr>
          <w:sz w:val="24"/>
          <w:szCs w:val="24"/>
        </w:rPr>
        <w:t>Christopher Holman theorises that Machiavelli’s use of these examples were ‘to affirm the uniquely human capacity for political creation</w:t>
      </w:r>
      <w:r w:rsidR="00EC14B0" w:rsidRPr="00627972">
        <w:rPr>
          <w:sz w:val="24"/>
          <w:szCs w:val="24"/>
        </w:rPr>
        <w:t>…[</w:t>
      </w:r>
      <w:r w:rsidR="00C27B35" w:rsidRPr="00627972">
        <w:rPr>
          <w:sz w:val="24"/>
          <w:szCs w:val="24"/>
        </w:rPr>
        <w:t>and break</w:t>
      </w:r>
      <w:r w:rsidR="00EC14B0" w:rsidRPr="00627972">
        <w:rPr>
          <w:sz w:val="24"/>
          <w:szCs w:val="24"/>
        </w:rPr>
        <w:t xml:space="preserve">] </w:t>
      </w:r>
      <w:r w:rsidR="00C27B35" w:rsidRPr="00627972">
        <w:rPr>
          <w:sz w:val="24"/>
          <w:szCs w:val="24"/>
        </w:rPr>
        <w:t>free from the past, for the sake of the affirmation of the human potential to upset the order of things through the institution of the new.’</w:t>
      </w:r>
      <w:r w:rsidR="00AA362E" w:rsidRPr="00627972">
        <w:rPr>
          <w:rStyle w:val="FootnoteReference"/>
          <w:sz w:val="24"/>
          <w:szCs w:val="24"/>
        </w:rPr>
        <w:t xml:space="preserve"> </w:t>
      </w:r>
      <w:r w:rsidR="00AA362E" w:rsidRPr="00627972">
        <w:rPr>
          <w:rStyle w:val="FootnoteReference"/>
          <w:sz w:val="24"/>
          <w:szCs w:val="24"/>
        </w:rPr>
        <w:footnoteReference w:id="17"/>
      </w:r>
      <w:r w:rsidR="00196DFC" w:rsidRPr="00627972">
        <w:rPr>
          <w:sz w:val="24"/>
          <w:szCs w:val="24"/>
        </w:rPr>
        <w:t xml:space="preserve"> </w:t>
      </w:r>
      <w:r w:rsidR="00253E6B" w:rsidRPr="00627972">
        <w:rPr>
          <w:sz w:val="24"/>
          <w:szCs w:val="24"/>
        </w:rPr>
        <w:t xml:space="preserve">Reinforcing Machiavelli’s </w:t>
      </w:r>
      <w:r w:rsidR="00CA046B" w:rsidRPr="00627972">
        <w:rPr>
          <w:sz w:val="24"/>
          <w:szCs w:val="24"/>
        </w:rPr>
        <w:t xml:space="preserve">focus on creating a strong prince who </w:t>
      </w:r>
      <w:r w:rsidR="00702EA8" w:rsidRPr="00627972">
        <w:rPr>
          <w:sz w:val="24"/>
          <w:szCs w:val="24"/>
        </w:rPr>
        <w:t>prevented uprisings and strengthening the system of principalities</w:t>
      </w:r>
      <w:r w:rsidR="003E152A" w:rsidRPr="00627972">
        <w:rPr>
          <w:sz w:val="24"/>
          <w:szCs w:val="24"/>
        </w:rPr>
        <w:t xml:space="preserve"> bringing in new systems among the Italian Renaissance</w:t>
      </w:r>
      <w:r w:rsidR="00991FBC" w:rsidRPr="00627972">
        <w:rPr>
          <w:sz w:val="24"/>
          <w:szCs w:val="24"/>
        </w:rPr>
        <w:t>, using new political and military methods adapted from these leaders mentioned throughout the text.</w:t>
      </w:r>
      <w:r w:rsidR="006354B4" w:rsidRPr="00627972">
        <w:rPr>
          <w:sz w:val="24"/>
          <w:szCs w:val="24"/>
        </w:rPr>
        <w:t xml:space="preserve"> </w:t>
      </w:r>
    </w:p>
    <w:p w14:paraId="3CCF62EB" w14:textId="77777777" w:rsidR="009B1C99" w:rsidRPr="00627972" w:rsidRDefault="009B1C99" w:rsidP="00922F05">
      <w:pPr>
        <w:spacing w:line="480" w:lineRule="auto"/>
        <w:rPr>
          <w:sz w:val="24"/>
          <w:szCs w:val="24"/>
        </w:rPr>
      </w:pPr>
    </w:p>
    <w:p w14:paraId="5346959A" w14:textId="76F468AA" w:rsidR="00644298" w:rsidRPr="00627972" w:rsidRDefault="005A75F7" w:rsidP="00922F05">
      <w:pPr>
        <w:spacing w:line="480" w:lineRule="auto"/>
        <w:rPr>
          <w:sz w:val="24"/>
          <w:szCs w:val="24"/>
        </w:rPr>
      </w:pPr>
      <w:r w:rsidRPr="00627972">
        <w:rPr>
          <w:sz w:val="24"/>
          <w:szCs w:val="24"/>
        </w:rPr>
        <w:t xml:space="preserve">Machiavelli also emphasises </w:t>
      </w:r>
      <w:r w:rsidR="000F2B31" w:rsidRPr="00627972">
        <w:rPr>
          <w:sz w:val="24"/>
          <w:szCs w:val="24"/>
        </w:rPr>
        <w:t>the</w:t>
      </w:r>
      <w:r w:rsidR="0083677F" w:rsidRPr="00627972">
        <w:rPr>
          <w:sz w:val="24"/>
          <w:szCs w:val="24"/>
        </w:rPr>
        <w:t xml:space="preserve"> ‘mastery of Latin’</w:t>
      </w:r>
      <w:r w:rsidR="004B21C6" w:rsidRPr="00627972">
        <w:rPr>
          <w:rStyle w:val="FootnoteReference"/>
          <w:sz w:val="24"/>
          <w:szCs w:val="24"/>
        </w:rPr>
        <w:footnoteReference w:id="18"/>
      </w:r>
      <w:r w:rsidR="000F2B31" w:rsidRPr="00627972">
        <w:rPr>
          <w:sz w:val="24"/>
          <w:szCs w:val="24"/>
        </w:rPr>
        <w:t xml:space="preserve">, this can be </w:t>
      </w:r>
      <w:r w:rsidR="004F3AA2" w:rsidRPr="00627972">
        <w:rPr>
          <w:sz w:val="24"/>
          <w:szCs w:val="24"/>
        </w:rPr>
        <w:t>reflect</w:t>
      </w:r>
      <w:r w:rsidR="000F2B31" w:rsidRPr="00627972">
        <w:rPr>
          <w:sz w:val="24"/>
          <w:szCs w:val="24"/>
        </w:rPr>
        <w:t>ive of</w:t>
      </w:r>
      <w:r w:rsidR="004F3AA2" w:rsidRPr="00627972">
        <w:rPr>
          <w:sz w:val="24"/>
          <w:szCs w:val="24"/>
        </w:rPr>
        <w:t xml:space="preserve"> the heavily Catholic nature of </w:t>
      </w:r>
      <w:r w:rsidR="006354B4" w:rsidRPr="00627972">
        <w:rPr>
          <w:sz w:val="24"/>
          <w:szCs w:val="24"/>
        </w:rPr>
        <w:t xml:space="preserve">pre-renaissance and </w:t>
      </w:r>
      <w:r w:rsidR="00262AEB" w:rsidRPr="00627972">
        <w:rPr>
          <w:sz w:val="24"/>
          <w:szCs w:val="24"/>
        </w:rPr>
        <w:t xml:space="preserve">Renaissance </w:t>
      </w:r>
      <w:r w:rsidR="006354B4" w:rsidRPr="00627972">
        <w:rPr>
          <w:sz w:val="24"/>
          <w:szCs w:val="24"/>
        </w:rPr>
        <w:t>Italy,</w:t>
      </w:r>
      <w:r w:rsidR="00262AEB" w:rsidRPr="00627972">
        <w:rPr>
          <w:sz w:val="24"/>
          <w:szCs w:val="24"/>
        </w:rPr>
        <w:t xml:space="preserve"> </w:t>
      </w:r>
      <w:r w:rsidR="00F320DD" w:rsidRPr="00627972">
        <w:rPr>
          <w:sz w:val="24"/>
          <w:szCs w:val="24"/>
        </w:rPr>
        <w:t xml:space="preserve">that survived the </w:t>
      </w:r>
      <w:r w:rsidR="00BA7A5B" w:rsidRPr="00627972">
        <w:rPr>
          <w:sz w:val="24"/>
          <w:szCs w:val="24"/>
        </w:rPr>
        <w:t xml:space="preserve">scientific revolution </w:t>
      </w:r>
      <w:r w:rsidR="002B0135" w:rsidRPr="00627972">
        <w:rPr>
          <w:sz w:val="24"/>
          <w:szCs w:val="24"/>
        </w:rPr>
        <w:t>within politics</w:t>
      </w:r>
      <w:r w:rsidR="007D6E57" w:rsidRPr="00627972">
        <w:rPr>
          <w:sz w:val="24"/>
          <w:szCs w:val="24"/>
        </w:rPr>
        <w:t xml:space="preserve">. On the other hand, </w:t>
      </w:r>
      <w:r w:rsidR="002B0135" w:rsidRPr="00627972">
        <w:rPr>
          <w:sz w:val="24"/>
          <w:szCs w:val="24"/>
        </w:rPr>
        <w:t xml:space="preserve">this mastery of Latin could be Machiavelli steering the princes on a more academic venture in their knowledge </w:t>
      </w:r>
      <w:r w:rsidR="00D82355" w:rsidRPr="00627972">
        <w:rPr>
          <w:sz w:val="24"/>
          <w:szCs w:val="24"/>
        </w:rPr>
        <w:t>to expand their understanding of history.</w:t>
      </w:r>
      <w:r w:rsidR="00F320DD" w:rsidRPr="00627972">
        <w:rPr>
          <w:sz w:val="24"/>
          <w:szCs w:val="24"/>
        </w:rPr>
        <w:t xml:space="preserve"> </w:t>
      </w:r>
      <w:r w:rsidR="00A42A94" w:rsidRPr="00627972">
        <w:rPr>
          <w:sz w:val="24"/>
          <w:szCs w:val="24"/>
        </w:rPr>
        <w:t>Early 19</w:t>
      </w:r>
      <w:r w:rsidR="00A42A94" w:rsidRPr="00627972">
        <w:rPr>
          <w:sz w:val="24"/>
          <w:szCs w:val="24"/>
          <w:vertAlign w:val="superscript"/>
        </w:rPr>
        <w:t>th</w:t>
      </w:r>
      <w:r w:rsidR="00A42A94" w:rsidRPr="00627972">
        <w:rPr>
          <w:sz w:val="24"/>
          <w:szCs w:val="24"/>
        </w:rPr>
        <w:t xml:space="preserve"> century </w:t>
      </w:r>
      <w:r w:rsidR="00CD65E1" w:rsidRPr="00627972">
        <w:rPr>
          <w:sz w:val="24"/>
          <w:szCs w:val="24"/>
        </w:rPr>
        <w:t xml:space="preserve">interpretations by philosophers such as </w:t>
      </w:r>
      <w:r w:rsidR="00DB1229" w:rsidRPr="00627972">
        <w:rPr>
          <w:sz w:val="24"/>
          <w:szCs w:val="24"/>
        </w:rPr>
        <w:t xml:space="preserve">Georg </w:t>
      </w:r>
      <w:r w:rsidR="00CD65E1" w:rsidRPr="00627972">
        <w:rPr>
          <w:sz w:val="24"/>
          <w:szCs w:val="24"/>
        </w:rPr>
        <w:t>Hegel</w:t>
      </w:r>
      <w:r w:rsidR="00092085" w:rsidRPr="00627972">
        <w:rPr>
          <w:sz w:val="24"/>
          <w:szCs w:val="24"/>
        </w:rPr>
        <w:t xml:space="preserve">, argue that </w:t>
      </w:r>
      <w:r w:rsidR="00092085" w:rsidRPr="00627972">
        <w:rPr>
          <w:i/>
          <w:iCs/>
          <w:sz w:val="24"/>
          <w:szCs w:val="24"/>
        </w:rPr>
        <w:t xml:space="preserve">The Prince </w:t>
      </w:r>
      <w:r w:rsidR="00092085" w:rsidRPr="00627972">
        <w:rPr>
          <w:sz w:val="24"/>
          <w:szCs w:val="24"/>
        </w:rPr>
        <w:t>‘advocates the struggles of national independence and the building of modern nation-states out of feudal social conditions.’</w:t>
      </w:r>
      <w:r w:rsidR="00A3501B" w:rsidRPr="00627972">
        <w:rPr>
          <w:rStyle w:val="FootnoteReference"/>
          <w:sz w:val="24"/>
          <w:szCs w:val="24"/>
        </w:rPr>
        <w:footnoteReference w:id="19"/>
      </w:r>
      <w:r w:rsidR="00A3501B" w:rsidRPr="00627972">
        <w:rPr>
          <w:sz w:val="24"/>
          <w:szCs w:val="24"/>
        </w:rPr>
        <w:t xml:space="preserve"> </w:t>
      </w:r>
      <w:r w:rsidR="005A4E0E" w:rsidRPr="00627972">
        <w:rPr>
          <w:sz w:val="24"/>
          <w:szCs w:val="24"/>
        </w:rPr>
        <w:t xml:space="preserve">Linking with the revolution-heavy </w:t>
      </w:r>
      <w:r w:rsidR="0008518D" w:rsidRPr="00627972">
        <w:rPr>
          <w:sz w:val="24"/>
          <w:szCs w:val="24"/>
        </w:rPr>
        <w:t>West in the 18</w:t>
      </w:r>
      <w:r w:rsidR="0008518D" w:rsidRPr="00627972">
        <w:rPr>
          <w:sz w:val="24"/>
          <w:szCs w:val="24"/>
          <w:vertAlign w:val="superscript"/>
        </w:rPr>
        <w:t>th</w:t>
      </w:r>
      <w:r w:rsidR="0008518D" w:rsidRPr="00627972">
        <w:rPr>
          <w:sz w:val="24"/>
          <w:szCs w:val="24"/>
        </w:rPr>
        <w:t xml:space="preserve"> century</w:t>
      </w:r>
      <w:r w:rsidR="002635AA" w:rsidRPr="00627972">
        <w:rPr>
          <w:sz w:val="24"/>
          <w:szCs w:val="24"/>
        </w:rPr>
        <w:t xml:space="preserve"> </w:t>
      </w:r>
      <w:r w:rsidR="00EA00E1" w:rsidRPr="00627972">
        <w:rPr>
          <w:sz w:val="24"/>
          <w:szCs w:val="24"/>
        </w:rPr>
        <w:t xml:space="preserve">post-Machiavelli, creating a foundation for these new nation-states </w:t>
      </w:r>
      <w:r w:rsidR="007B7655" w:rsidRPr="00627972">
        <w:rPr>
          <w:sz w:val="24"/>
          <w:szCs w:val="24"/>
        </w:rPr>
        <w:t xml:space="preserve">within Europe. </w:t>
      </w:r>
      <w:r w:rsidR="00A3501B" w:rsidRPr="00627972">
        <w:rPr>
          <w:sz w:val="24"/>
          <w:szCs w:val="24"/>
        </w:rPr>
        <w:t>Th</w:t>
      </w:r>
      <w:r w:rsidR="005F32D5" w:rsidRPr="00627972">
        <w:rPr>
          <w:sz w:val="24"/>
          <w:szCs w:val="24"/>
        </w:rPr>
        <w:t xml:space="preserve">is treatise </w:t>
      </w:r>
      <w:r w:rsidR="009A33C0" w:rsidRPr="00627972">
        <w:rPr>
          <w:sz w:val="24"/>
          <w:szCs w:val="24"/>
        </w:rPr>
        <w:t xml:space="preserve">also </w:t>
      </w:r>
      <w:r w:rsidR="005F32D5" w:rsidRPr="00627972">
        <w:rPr>
          <w:sz w:val="24"/>
          <w:szCs w:val="24"/>
        </w:rPr>
        <w:t xml:space="preserve">received attention from Marxist-Leninist thought, Antonio Gramsi </w:t>
      </w:r>
      <w:r w:rsidR="00EC6B50" w:rsidRPr="00627972">
        <w:rPr>
          <w:sz w:val="24"/>
          <w:szCs w:val="24"/>
        </w:rPr>
        <w:t xml:space="preserve">links the role of the Communist party </w:t>
      </w:r>
      <w:r w:rsidR="0081123D" w:rsidRPr="00627972">
        <w:rPr>
          <w:sz w:val="24"/>
          <w:szCs w:val="24"/>
        </w:rPr>
        <w:t>with that of ‘Machiavelli’s civil prince’</w:t>
      </w:r>
      <w:r w:rsidR="00851E09" w:rsidRPr="00627972">
        <w:rPr>
          <w:sz w:val="24"/>
          <w:szCs w:val="24"/>
        </w:rPr>
        <w:t xml:space="preserve"> supporting Hegel’s </w:t>
      </w:r>
      <w:r w:rsidR="004D5607" w:rsidRPr="00627972">
        <w:rPr>
          <w:sz w:val="24"/>
          <w:szCs w:val="24"/>
        </w:rPr>
        <w:t>argument with the creation of Communist Russia by Lenin</w:t>
      </w:r>
      <w:r w:rsidR="004D6F63" w:rsidRPr="00627972">
        <w:rPr>
          <w:sz w:val="24"/>
          <w:szCs w:val="24"/>
        </w:rPr>
        <w:t xml:space="preserve"> in 1914 as a modern nation-state </w:t>
      </w:r>
      <w:r w:rsidR="00DB1229" w:rsidRPr="00627972">
        <w:rPr>
          <w:sz w:val="24"/>
          <w:szCs w:val="24"/>
        </w:rPr>
        <w:t>from</w:t>
      </w:r>
      <w:r w:rsidR="004D6F63" w:rsidRPr="00627972">
        <w:rPr>
          <w:sz w:val="24"/>
          <w:szCs w:val="24"/>
        </w:rPr>
        <w:t xml:space="preserve"> the outdated aristocracy of Russia</w:t>
      </w:r>
      <w:r w:rsidR="00881F8B" w:rsidRPr="00627972">
        <w:rPr>
          <w:sz w:val="24"/>
          <w:szCs w:val="24"/>
        </w:rPr>
        <w:t xml:space="preserve">, </w:t>
      </w:r>
      <w:r w:rsidR="00881F8B" w:rsidRPr="00627972">
        <w:rPr>
          <w:sz w:val="24"/>
          <w:szCs w:val="24"/>
        </w:rPr>
        <w:lastRenderedPageBreak/>
        <w:t xml:space="preserve">dictating and aiming to help all people within the country rather than </w:t>
      </w:r>
      <w:r w:rsidR="00DB1229" w:rsidRPr="00627972">
        <w:rPr>
          <w:sz w:val="24"/>
          <w:szCs w:val="24"/>
        </w:rPr>
        <w:t xml:space="preserve">just </w:t>
      </w:r>
      <w:r w:rsidR="00881F8B" w:rsidRPr="00627972">
        <w:rPr>
          <w:sz w:val="24"/>
          <w:szCs w:val="24"/>
        </w:rPr>
        <w:t>the bourgeoisie and social elite.</w:t>
      </w:r>
      <w:r w:rsidR="00B345DA" w:rsidRPr="00627972">
        <w:rPr>
          <w:rStyle w:val="FootnoteReference"/>
          <w:sz w:val="24"/>
          <w:szCs w:val="24"/>
        </w:rPr>
        <w:footnoteReference w:id="20"/>
      </w:r>
    </w:p>
    <w:p w14:paraId="4C2DC27F" w14:textId="77777777" w:rsidR="00CD6D59" w:rsidRPr="00627972" w:rsidRDefault="00CD6D59" w:rsidP="00922F05">
      <w:pPr>
        <w:spacing w:line="480" w:lineRule="auto"/>
        <w:rPr>
          <w:sz w:val="24"/>
          <w:szCs w:val="24"/>
        </w:rPr>
      </w:pPr>
    </w:p>
    <w:p w14:paraId="2A8DAAB3" w14:textId="4CF6DC8D" w:rsidR="006354B4" w:rsidRDefault="009B1C99" w:rsidP="00922F05">
      <w:pPr>
        <w:spacing w:line="480" w:lineRule="auto"/>
        <w:rPr>
          <w:sz w:val="24"/>
          <w:szCs w:val="24"/>
        </w:rPr>
      </w:pPr>
      <w:r w:rsidRPr="00627972">
        <w:rPr>
          <w:sz w:val="24"/>
          <w:szCs w:val="24"/>
        </w:rPr>
        <w:t xml:space="preserve">Ultimately, Machiavelli’s </w:t>
      </w:r>
      <w:r w:rsidRPr="00627972">
        <w:rPr>
          <w:i/>
          <w:iCs/>
          <w:sz w:val="24"/>
          <w:szCs w:val="24"/>
        </w:rPr>
        <w:t>The Prince</w:t>
      </w:r>
      <w:r w:rsidR="007B7655" w:rsidRPr="00627972">
        <w:rPr>
          <w:sz w:val="24"/>
          <w:szCs w:val="24"/>
        </w:rPr>
        <w:t xml:space="preserve">’s influence transcends time with its presence </w:t>
      </w:r>
      <w:r w:rsidR="00851E09" w:rsidRPr="00627972">
        <w:rPr>
          <w:sz w:val="24"/>
          <w:szCs w:val="24"/>
        </w:rPr>
        <w:t>prevalent in media and popular culture of the 21</w:t>
      </w:r>
      <w:r w:rsidR="00851E09" w:rsidRPr="00627972">
        <w:rPr>
          <w:sz w:val="24"/>
          <w:szCs w:val="24"/>
          <w:vertAlign w:val="superscript"/>
        </w:rPr>
        <w:t>st</w:t>
      </w:r>
      <w:r w:rsidR="00851E09" w:rsidRPr="00627972">
        <w:rPr>
          <w:sz w:val="24"/>
          <w:szCs w:val="24"/>
        </w:rPr>
        <w:t xml:space="preserve"> century</w:t>
      </w:r>
      <w:r w:rsidR="001C7B0E" w:rsidRPr="00627972">
        <w:rPr>
          <w:sz w:val="24"/>
          <w:szCs w:val="24"/>
        </w:rPr>
        <w:t>, a</w:t>
      </w:r>
      <w:r w:rsidR="00A26CAB" w:rsidRPr="00627972">
        <w:rPr>
          <w:sz w:val="24"/>
          <w:szCs w:val="24"/>
        </w:rPr>
        <w:t xml:space="preserve">long with differing interpretations </w:t>
      </w:r>
      <w:r w:rsidR="00E55455" w:rsidRPr="00627972">
        <w:rPr>
          <w:sz w:val="24"/>
          <w:szCs w:val="24"/>
        </w:rPr>
        <w:t>within Shakespearean plays and links to the Communist Party</w:t>
      </w:r>
      <w:r w:rsidR="001C7B0E" w:rsidRPr="00627972">
        <w:rPr>
          <w:sz w:val="24"/>
          <w:szCs w:val="24"/>
        </w:rPr>
        <w:t xml:space="preserve">. </w:t>
      </w:r>
      <w:r w:rsidR="00B97210" w:rsidRPr="00627972">
        <w:rPr>
          <w:i/>
          <w:iCs/>
          <w:sz w:val="24"/>
          <w:szCs w:val="24"/>
        </w:rPr>
        <w:t xml:space="preserve">The </w:t>
      </w:r>
      <w:proofErr w:type="gramStart"/>
      <w:r w:rsidR="00B97210" w:rsidRPr="00627972">
        <w:rPr>
          <w:i/>
          <w:iCs/>
          <w:sz w:val="24"/>
          <w:szCs w:val="24"/>
        </w:rPr>
        <w:t>Prince</w:t>
      </w:r>
      <w:proofErr w:type="gramEnd"/>
      <w:r w:rsidR="00B97210" w:rsidRPr="00627972">
        <w:rPr>
          <w:sz w:val="24"/>
          <w:szCs w:val="24"/>
        </w:rPr>
        <w:t xml:space="preserve"> is one of few sources on the organisation and thought of Italian principalities, displaying the advice princes received from the government. </w:t>
      </w:r>
      <w:r w:rsidR="007E6DAF" w:rsidRPr="00627972">
        <w:rPr>
          <w:sz w:val="24"/>
          <w:szCs w:val="24"/>
        </w:rPr>
        <w:t>Machiavelli’s writings have shifted soc</w:t>
      </w:r>
      <w:r w:rsidR="000046A4" w:rsidRPr="00627972">
        <w:rPr>
          <w:sz w:val="24"/>
          <w:szCs w:val="24"/>
        </w:rPr>
        <w:t>i</w:t>
      </w:r>
      <w:r w:rsidR="00307893" w:rsidRPr="00627972">
        <w:rPr>
          <w:sz w:val="24"/>
          <w:szCs w:val="24"/>
        </w:rPr>
        <w:t xml:space="preserve">al, </w:t>
      </w:r>
      <w:r w:rsidR="007E6DAF" w:rsidRPr="00627972">
        <w:rPr>
          <w:sz w:val="24"/>
          <w:szCs w:val="24"/>
        </w:rPr>
        <w:t>political</w:t>
      </w:r>
      <w:r w:rsidR="00307893" w:rsidRPr="00627972">
        <w:rPr>
          <w:sz w:val="24"/>
          <w:szCs w:val="24"/>
        </w:rPr>
        <w:t xml:space="preserve">, and </w:t>
      </w:r>
      <w:r w:rsidR="007E6DAF" w:rsidRPr="00627972">
        <w:rPr>
          <w:sz w:val="24"/>
          <w:szCs w:val="24"/>
        </w:rPr>
        <w:t xml:space="preserve">military historical </w:t>
      </w:r>
      <w:r w:rsidR="00A87CF1" w:rsidRPr="00627972">
        <w:rPr>
          <w:sz w:val="24"/>
          <w:szCs w:val="24"/>
        </w:rPr>
        <w:t>research,</w:t>
      </w:r>
      <w:r w:rsidR="007E6DAF" w:rsidRPr="00627972">
        <w:rPr>
          <w:sz w:val="24"/>
          <w:szCs w:val="24"/>
        </w:rPr>
        <w:t xml:space="preserve"> </w:t>
      </w:r>
      <w:r w:rsidR="0019169F" w:rsidRPr="00627972">
        <w:rPr>
          <w:sz w:val="24"/>
          <w:szCs w:val="24"/>
        </w:rPr>
        <w:t>with links to themes of human nature</w:t>
      </w:r>
      <w:r w:rsidR="00A87CF1" w:rsidRPr="00627972">
        <w:rPr>
          <w:sz w:val="24"/>
          <w:szCs w:val="24"/>
        </w:rPr>
        <w:t xml:space="preserve"> </w:t>
      </w:r>
      <w:r w:rsidR="00557A59" w:rsidRPr="00627972">
        <w:rPr>
          <w:sz w:val="24"/>
          <w:szCs w:val="24"/>
        </w:rPr>
        <w:t>via Machiavellianism in literature</w:t>
      </w:r>
      <w:r w:rsidR="00307893" w:rsidRPr="00627972">
        <w:rPr>
          <w:sz w:val="24"/>
          <w:szCs w:val="24"/>
        </w:rPr>
        <w:t xml:space="preserve">, </w:t>
      </w:r>
      <w:r w:rsidR="00557A59" w:rsidRPr="00627972">
        <w:rPr>
          <w:sz w:val="24"/>
          <w:szCs w:val="24"/>
        </w:rPr>
        <w:t xml:space="preserve">sociology and </w:t>
      </w:r>
      <w:r w:rsidR="00905EBE" w:rsidRPr="00627972">
        <w:rPr>
          <w:sz w:val="24"/>
          <w:szCs w:val="24"/>
        </w:rPr>
        <w:t>influencing political thinkers such as Antonio Gramsi.</w:t>
      </w:r>
      <w:r w:rsidR="009B38F1">
        <w:rPr>
          <w:sz w:val="24"/>
          <w:szCs w:val="24"/>
        </w:rPr>
        <w:t xml:space="preserve"> </w:t>
      </w:r>
    </w:p>
    <w:p w14:paraId="4FF6DA7A" w14:textId="77777777" w:rsidR="00627972" w:rsidRDefault="00627972" w:rsidP="0061551D">
      <w:pPr>
        <w:rPr>
          <w:sz w:val="24"/>
          <w:szCs w:val="24"/>
        </w:rPr>
      </w:pPr>
    </w:p>
    <w:p w14:paraId="24FD4F9A" w14:textId="77777777" w:rsidR="0098472F" w:rsidRDefault="0098472F" w:rsidP="0061551D">
      <w:pPr>
        <w:rPr>
          <w:sz w:val="24"/>
          <w:szCs w:val="24"/>
        </w:rPr>
      </w:pPr>
    </w:p>
    <w:p w14:paraId="413D258F" w14:textId="77777777" w:rsidR="00627972" w:rsidRPr="00E03031" w:rsidRDefault="00627972" w:rsidP="0061551D">
      <w:pPr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1664287942"/>
        <w:docPartObj>
          <w:docPartGallery w:val="Bibliographies"/>
          <w:docPartUnique/>
        </w:docPartObj>
      </w:sdtPr>
      <w:sdtEndPr/>
      <w:sdtContent>
        <w:p w14:paraId="2A8FC363" w14:textId="5B14374B" w:rsidR="009D17DC" w:rsidRDefault="009D17DC">
          <w:pPr>
            <w:pStyle w:val="Heading1"/>
          </w:pPr>
          <w:r>
            <w:t>Bibliography</w:t>
          </w:r>
        </w:p>
        <w:sdt>
          <w:sdtPr>
            <w:rPr>
              <w:sz w:val="24"/>
              <w:szCs w:val="24"/>
            </w:rPr>
            <w:id w:val="111145805"/>
            <w:bibliography/>
          </w:sdtPr>
          <w:sdtEndPr/>
          <w:sdtContent>
            <w:p w14:paraId="6DB5ED94" w14:textId="5CDC41DF" w:rsidR="0098572B" w:rsidRDefault="0098572B" w:rsidP="00E46389">
              <w:pPr>
                <w:pStyle w:val="ListParagraph"/>
                <w:numPr>
                  <w:ilvl w:val="0"/>
                  <w:numId w:val="6"/>
                </w:num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Benioff, David and D.B. Weiss, </w:t>
              </w:r>
              <w:r w:rsidRPr="0098572B">
                <w:rPr>
                  <w:i/>
                  <w:iCs/>
                  <w:sz w:val="24"/>
                  <w:szCs w:val="24"/>
                </w:rPr>
                <w:t>Game of Thrones</w:t>
              </w:r>
              <w:r>
                <w:rPr>
                  <w:sz w:val="24"/>
                  <w:szCs w:val="24"/>
                </w:rPr>
                <w:t xml:space="preserve"> (HBO, 2011)</w:t>
              </w:r>
            </w:p>
            <w:p w14:paraId="5EB0CB17" w14:textId="4D9F275D" w:rsidR="00E46389" w:rsidRPr="005B68C3" w:rsidRDefault="00AF7E83" w:rsidP="00E46389">
              <w:pPr>
                <w:pStyle w:val="ListParagraph"/>
                <w:numPr>
                  <w:ilvl w:val="0"/>
                  <w:numId w:val="6"/>
                </w:numPr>
                <w:rPr>
                  <w:sz w:val="24"/>
                  <w:szCs w:val="24"/>
                </w:rPr>
              </w:pPr>
              <w:r w:rsidRPr="005B68C3">
                <w:rPr>
                  <w:sz w:val="24"/>
                  <w:szCs w:val="24"/>
                </w:rPr>
                <w:t>Butterfield</w:t>
              </w:r>
              <w:r w:rsidR="002A46D7" w:rsidRPr="005B68C3">
                <w:rPr>
                  <w:sz w:val="24"/>
                  <w:szCs w:val="24"/>
                </w:rPr>
                <w:t xml:space="preserve">, H. </w:t>
              </w:r>
              <w:r w:rsidR="00634862" w:rsidRPr="005B68C3">
                <w:rPr>
                  <w:sz w:val="24"/>
                  <w:szCs w:val="24"/>
                </w:rPr>
                <w:t>‘</w:t>
              </w:r>
              <w:r w:rsidR="002A46D7" w:rsidRPr="005B68C3">
                <w:rPr>
                  <w:sz w:val="24"/>
                  <w:szCs w:val="24"/>
                </w:rPr>
                <w:t>Professor Chabod and the Machiavelli controversies</w:t>
              </w:r>
              <w:r w:rsidR="00634862" w:rsidRPr="005B68C3">
                <w:rPr>
                  <w:sz w:val="24"/>
                  <w:szCs w:val="24"/>
                </w:rPr>
                <w:t>’</w:t>
              </w:r>
              <w:r w:rsidR="006A2C88" w:rsidRPr="005B68C3">
                <w:rPr>
                  <w:i/>
                  <w:iCs/>
                  <w:sz w:val="24"/>
                  <w:szCs w:val="24"/>
                </w:rPr>
                <w:t xml:space="preserve">, </w:t>
              </w:r>
              <w:r w:rsidR="006A2C88" w:rsidRPr="005B68C3">
                <w:rPr>
                  <w:sz w:val="24"/>
                  <w:szCs w:val="24"/>
                </w:rPr>
                <w:t xml:space="preserve">The Historical Journal, Vol 2, </w:t>
              </w:r>
              <w:r w:rsidR="00D9516A" w:rsidRPr="005B68C3">
                <w:rPr>
                  <w:sz w:val="24"/>
                  <w:szCs w:val="24"/>
                </w:rPr>
                <w:t>Issue 1. 1959</w:t>
              </w:r>
              <w:r w:rsidR="00380546">
                <w:rPr>
                  <w:sz w:val="24"/>
                  <w:szCs w:val="24"/>
                </w:rPr>
                <w:t>. Review Article</w:t>
              </w:r>
            </w:p>
            <w:p w14:paraId="5E9B3C94" w14:textId="2B02CD9A" w:rsidR="00B64DE6" w:rsidRDefault="00B64DE6" w:rsidP="00673426">
              <w:pPr>
                <w:pStyle w:val="ListParagraph"/>
                <w:numPr>
                  <w:ilvl w:val="0"/>
                  <w:numId w:val="6"/>
                </w:numPr>
                <w:rPr>
                  <w:sz w:val="24"/>
                  <w:szCs w:val="24"/>
                </w:rPr>
              </w:pPr>
              <w:r w:rsidRPr="005B68C3">
                <w:rPr>
                  <w:sz w:val="24"/>
                  <w:szCs w:val="24"/>
                </w:rPr>
                <w:t>D’Andrade</w:t>
              </w:r>
              <w:r w:rsidR="00634862" w:rsidRPr="005B68C3">
                <w:rPr>
                  <w:sz w:val="24"/>
                  <w:szCs w:val="24"/>
                </w:rPr>
                <w:t>, Kendall. ‘Machiavelli’s Prince as CEO’, Vol. 3, No. 4</w:t>
              </w:r>
              <w:r w:rsidR="00E46389" w:rsidRPr="005B68C3">
                <w:rPr>
                  <w:sz w:val="24"/>
                  <w:szCs w:val="24"/>
                </w:rPr>
                <w:t>. 1993</w:t>
              </w:r>
            </w:p>
            <w:p w14:paraId="3B623516" w14:textId="3FEBBF0B" w:rsidR="000F53C1" w:rsidRPr="000F53C1" w:rsidRDefault="000F53C1" w:rsidP="000F53C1">
              <w:pPr>
                <w:pStyle w:val="ListParagraph"/>
                <w:numPr>
                  <w:ilvl w:val="0"/>
                  <w:numId w:val="6"/>
                </w:numPr>
                <w:rPr>
                  <w:sz w:val="28"/>
                  <w:szCs w:val="28"/>
                </w:rPr>
              </w:pPr>
              <w:r w:rsidRPr="000F53C1">
                <w:rPr>
                  <w:sz w:val="24"/>
                  <w:szCs w:val="24"/>
                </w:rPr>
                <w:t xml:space="preserve">Englander, David. </w:t>
              </w:r>
              <w:r w:rsidRPr="000F53C1">
                <w:rPr>
                  <w:i/>
                  <w:iCs/>
                  <w:sz w:val="24"/>
                  <w:szCs w:val="24"/>
                </w:rPr>
                <w:t>Culture and belief in Europe, 1450-1600: an anthology of sources</w:t>
              </w:r>
              <w:r w:rsidRPr="000F53C1">
                <w:rPr>
                  <w:sz w:val="24"/>
                  <w:szCs w:val="24"/>
                </w:rPr>
                <w:t>. Oxford, UK: Basil Blackwell in association with the Open University (1990)</w:t>
              </w:r>
            </w:p>
            <w:p w14:paraId="563E65F9" w14:textId="4BA0A5BA" w:rsidR="00AF7E83" w:rsidRDefault="00AF7E83" w:rsidP="00673426">
              <w:pPr>
                <w:pStyle w:val="ListParagraph"/>
                <w:numPr>
                  <w:ilvl w:val="0"/>
                  <w:numId w:val="6"/>
                </w:numPr>
                <w:rPr>
                  <w:sz w:val="24"/>
                  <w:szCs w:val="24"/>
                </w:rPr>
              </w:pPr>
              <w:r w:rsidRPr="005B68C3">
                <w:rPr>
                  <w:sz w:val="24"/>
                  <w:szCs w:val="24"/>
                </w:rPr>
                <w:t>Holman</w:t>
              </w:r>
              <w:r w:rsidR="00E46389" w:rsidRPr="005B68C3">
                <w:rPr>
                  <w:sz w:val="24"/>
                  <w:szCs w:val="24"/>
                </w:rPr>
                <w:t xml:space="preserve">, </w:t>
              </w:r>
              <w:r w:rsidR="00027008" w:rsidRPr="005B68C3">
                <w:rPr>
                  <w:sz w:val="24"/>
                  <w:szCs w:val="24"/>
                </w:rPr>
                <w:t xml:space="preserve">Christopher. </w:t>
              </w:r>
              <w:r w:rsidR="00027008" w:rsidRPr="005B68C3">
                <w:rPr>
                  <w:i/>
                  <w:iCs/>
                  <w:sz w:val="24"/>
                  <w:szCs w:val="24"/>
                </w:rPr>
                <w:t>Machiavelli and the politics of democratic innovation</w:t>
              </w:r>
              <w:r w:rsidR="002A65DC" w:rsidRPr="005B68C3">
                <w:rPr>
                  <w:sz w:val="24"/>
                  <w:szCs w:val="24"/>
                </w:rPr>
                <w:t>. Toronto: Buffalo</w:t>
              </w:r>
              <w:r w:rsidR="0095505A">
                <w:rPr>
                  <w:sz w:val="24"/>
                  <w:szCs w:val="24"/>
                </w:rPr>
                <w:t xml:space="preserve">: </w:t>
              </w:r>
              <w:r w:rsidR="002A65DC" w:rsidRPr="005B68C3">
                <w:rPr>
                  <w:sz w:val="24"/>
                  <w:szCs w:val="24"/>
                </w:rPr>
                <w:t xml:space="preserve"> University of Toronto Press (2018)</w:t>
              </w:r>
            </w:p>
            <w:p w14:paraId="444DE312" w14:textId="02C87BCD" w:rsidR="0035755B" w:rsidRPr="005B68C3" w:rsidRDefault="0035755B" w:rsidP="00673426">
              <w:pPr>
                <w:pStyle w:val="ListParagraph"/>
                <w:numPr>
                  <w:ilvl w:val="0"/>
                  <w:numId w:val="6"/>
                </w:num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Horn, Joshua</w:t>
              </w:r>
              <w:r w:rsidR="00673730">
                <w:rPr>
                  <w:sz w:val="24"/>
                  <w:szCs w:val="24"/>
                </w:rPr>
                <w:t>. ‘Why Was Hannibal a Great General?’. Discerning History, 2017</w:t>
              </w:r>
            </w:p>
            <w:p w14:paraId="3164BF6A" w14:textId="44A3D77E" w:rsidR="00673426" w:rsidRPr="005B68C3" w:rsidRDefault="00673426" w:rsidP="00673426">
              <w:pPr>
                <w:pStyle w:val="ListParagraph"/>
                <w:numPr>
                  <w:ilvl w:val="0"/>
                  <w:numId w:val="6"/>
                </w:numPr>
                <w:rPr>
                  <w:sz w:val="24"/>
                  <w:szCs w:val="24"/>
                </w:rPr>
              </w:pPr>
              <w:r w:rsidRPr="005B68C3">
                <w:rPr>
                  <w:sz w:val="24"/>
                  <w:szCs w:val="24"/>
                </w:rPr>
                <w:t>Major</w:t>
              </w:r>
              <w:r w:rsidR="00BB3D7D" w:rsidRPr="005B68C3">
                <w:rPr>
                  <w:sz w:val="24"/>
                  <w:szCs w:val="24"/>
                </w:rPr>
                <w:t>, Rafael. ‘A New Argument for Morality: Machiavelli and the Ancients</w:t>
              </w:r>
              <w:r w:rsidR="00C27346" w:rsidRPr="005B68C3">
                <w:rPr>
                  <w:sz w:val="24"/>
                  <w:szCs w:val="24"/>
                </w:rPr>
                <w:t>’, Vol. 60, No. 2. 2007</w:t>
              </w:r>
            </w:p>
            <w:p w14:paraId="5581CAD1" w14:textId="76502628" w:rsidR="00B64DE6" w:rsidRPr="005B68C3" w:rsidRDefault="00B64DE6" w:rsidP="00673426">
              <w:pPr>
                <w:pStyle w:val="ListParagraph"/>
                <w:numPr>
                  <w:ilvl w:val="0"/>
                  <w:numId w:val="6"/>
                </w:numPr>
                <w:rPr>
                  <w:sz w:val="24"/>
                  <w:szCs w:val="24"/>
                </w:rPr>
              </w:pPr>
              <w:r w:rsidRPr="005B68C3">
                <w:rPr>
                  <w:sz w:val="24"/>
                  <w:szCs w:val="24"/>
                </w:rPr>
                <w:t>Skinner</w:t>
              </w:r>
              <w:r w:rsidR="00C27346" w:rsidRPr="005B68C3">
                <w:rPr>
                  <w:sz w:val="24"/>
                  <w:szCs w:val="24"/>
                </w:rPr>
                <w:t xml:space="preserve">, </w:t>
              </w:r>
              <w:r w:rsidR="003F19B5" w:rsidRPr="005B68C3">
                <w:rPr>
                  <w:sz w:val="24"/>
                  <w:szCs w:val="24"/>
                </w:rPr>
                <w:t xml:space="preserve">Quentin. </w:t>
              </w:r>
              <w:r w:rsidR="003F19B5" w:rsidRPr="005B68C3">
                <w:rPr>
                  <w:i/>
                  <w:iCs/>
                  <w:sz w:val="24"/>
                  <w:szCs w:val="24"/>
                </w:rPr>
                <w:t>Machiavelli: A Short Introduction.</w:t>
              </w:r>
              <w:r w:rsidR="003F19B5" w:rsidRPr="005B68C3">
                <w:rPr>
                  <w:sz w:val="24"/>
                  <w:szCs w:val="24"/>
                </w:rPr>
                <w:t xml:space="preserve"> Oxford University Press, USA</w:t>
              </w:r>
              <w:r w:rsidR="004163C5" w:rsidRPr="005B68C3">
                <w:rPr>
                  <w:sz w:val="24"/>
                  <w:szCs w:val="24"/>
                </w:rPr>
                <w:t xml:space="preserve"> (2001)</w:t>
              </w:r>
            </w:p>
            <w:p w14:paraId="22F5E28E" w14:textId="20A05A14" w:rsidR="009D17DC" w:rsidRPr="005B68C3" w:rsidRDefault="009D17DC" w:rsidP="00673426">
              <w:pPr>
                <w:pStyle w:val="ListParagraph"/>
                <w:numPr>
                  <w:ilvl w:val="0"/>
                  <w:numId w:val="6"/>
                </w:numPr>
                <w:rPr>
                  <w:sz w:val="24"/>
                  <w:szCs w:val="24"/>
                </w:rPr>
              </w:pPr>
              <w:r w:rsidRPr="005B68C3">
                <w:rPr>
                  <w:sz w:val="24"/>
                  <w:szCs w:val="24"/>
                </w:rPr>
                <w:t>Shakespeare</w:t>
              </w:r>
              <w:r w:rsidR="00093DB0" w:rsidRPr="005B68C3">
                <w:rPr>
                  <w:sz w:val="24"/>
                  <w:szCs w:val="24"/>
                </w:rPr>
                <w:t>, William</w:t>
              </w:r>
              <w:r w:rsidR="005B68C3" w:rsidRPr="005B68C3">
                <w:rPr>
                  <w:sz w:val="24"/>
                  <w:szCs w:val="24"/>
                </w:rPr>
                <w:t xml:space="preserve">. </w:t>
              </w:r>
              <w:r w:rsidR="005B68C3" w:rsidRPr="005B68C3">
                <w:rPr>
                  <w:i/>
                  <w:iCs/>
                  <w:sz w:val="24"/>
                  <w:szCs w:val="24"/>
                </w:rPr>
                <w:t>Henry VI, Part III</w:t>
              </w:r>
              <w:r w:rsidR="005B68C3" w:rsidRPr="005B68C3">
                <w:rPr>
                  <w:sz w:val="24"/>
                  <w:szCs w:val="24"/>
                </w:rPr>
                <w:t xml:space="preserve"> (1591)</w:t>
              </w:r>
            </w:p>
            <w:p w14:paraId="43E92A03" w14:textId="137B384B" w:rsidR="009D17DC" w:rsidRPr="005B68C3" w:rsidRDefault="009D17DC" w:rsidP="00673426">
              <w:pPr>
                <w:pStyle w:val="ListParagraph"/>
                <w:numPr>
                  <w:ilvl w:val="0"/>
                  <w:numId w:val="6"/>
                </w:numPr>
                <w:rPr>
                  <w:sz w:val="24"/>
                  <w:szCs w:val="24"/>
                </w:rPr>
              </w:pPr>
              <w:r w:rsidRPr="005B68C3">
                <w:rPr>
                  <w:sz w:val="24"/>
                  <w:szCs w:val="24"/>
                </w:rPr>
                <w:t>Shakespeare</w:t>
              </w:r>
              <w:r w:rsidR="005B68C3" w:rsidRPr="005B68C3">
                <w:rPr>
                  <w:sz w:val="24"/>
                  <w:szCs w:val="24"/>
                </w:rPr>
                <w:t xml:space="preserve">, William. </w:t>
              </w:r>
              <w:r w:rsidR="005B68C3" w:rsidRPr="005B68C3">
                <w:rPr>
                  <w:i/>
                  <w:iCs/>
                  <w:sz w:val="24"/>
                  <w:szCs w:val="24"/>
                </w:rPr>
                <w:t xml:space="preserve">Othello </w:t>
              </w:r>
              <w:r w:rsidR="005B68C3" w:rsidRPr="005B68C3">
                <w:rPr>
                  <w:sz w:val="24"/>
                  <w:szCs w:val="24"/>
                </w:rPr>
                <w:t>(1603)</w:t>
              </w:r>
            </w:p>
            <w:p w14:paraId="68476F93" w14:textId="4EA073CA" w:rsidR="009D17DC" w:rsidRDefault="00AF7E83" w:rsidP="00673426">
              <w:pPr>
                <w:pStyle w:val="ListParagraph"/>
                <w:numPr>
                  <w:ilvl w:val="0"/>
                  <w:numId w:val="6"/>
                </w:numPr>
              </w:pPr>
              <w:r w:rsidRPr="005B68C3">
                <w:rPr>
                  <w:sz w:val="24"/>
                  <w:szCs w:val="24"/>
                </w:rPr>
                <w:t>Vatter</w:t>
              </w:r>
              <w:r w:rsidR="004163C5" w:rsidRPr="005B68C3">
                <w:rPr>
                  <w:sz w:val="24"/>
                  <w:szCs w:val="24"/>
                </w:rPr>
                <w:t xml:space="preserve">, Miguel. </w:t>
              </w:r>
              <w:r w:rsidR="004163C5" w:rsidRPr="005B68C3">
                <w:rPr>
                  <w:i/>
                  <w:iCs/>
                  <w:sz w:val="24"/>
                  <w:szCs w:val="24"/>
                </w:rPr>
                <w:t>Machiavelli’s ‘The Prince</w:t>
              </w:r>
              <w:r w:rsidR="007022D2">
                <w:rPr>
                  <w:i/>
                  <w:iCs/>
                  <w:sz w:val="24"/>
                  <w:szCs w:val="24"/>
                </w:rPr>
                <w:t>’</w:t>
              </w:r>
              <w:r w:rsidR="004163C5" w:rsidRPr="005B68C3">
                <w:rPr>
                  <w:i/>
                  <w:iCs/>
                  <w:sz w:val="24"/>
                  <w:szCs w:val="24"/>
                </w:rPr>
                <w:t>: A Reader’s Guide</w:t>
              </w:r>
              <w:r w:rsidR="00093DB0" w:rsidRPr="005B68C3">
                <w:rPr>
                  <w:i/>
                  <w:iCs/>
                  <w:sz w:val="24"/>
                  <w:szCs w:val="24"/>
                </w:rPr>
                <w:t>.</w:t>
              </w:r>
              <w:r w:rsidR="00093DB0" w:rsidRPr="005B68C3">
                <w:rPr>
                  <w:sz w:val="24"/>
                  <w:szCs w:val="24"/>
                </w:rPr>
                <w:t xml:space="preserve"> Bloomsbury Publishing Plc (2013)</w:t>
              </w:r>
            </w:p>
          </w:sdtContent>
        </w:sdt>
      </w:sdtContent>
    </w:sdt>
    <w:p w14:paraId="6E1B78D2" w14:textId="77777777" w:rsidR="00E71AB3" w:rsidRPr="00E03031" w:rsidRDefault="00E71AB3" w:rsidP="00E71AB3">
      <w:pPr>
        <w:rPr>
          <w:sz w:val="24"/>
          <w:szCs w:val="24"/>
        </w:rPr>
      </w:pPr>
    </w:p>
    <w:p w14:paraId="4957C053" w14:textId="77777777" w:rsidR="00E71AB3" w:rsidRPr="00FC5326" w:rsidRDefault="00E71AB3" w:rsidP="00E71AB3"/>
    <w:p w14:paraId="209F55EF" w14:textId="77777777" w:rsidR="00DC4D3C" w:rsidRDefault="00DC4D3C">
      <w:pPr>
        <w:rPr>
          <w:b/>
          <w:bCs/>
        </w:rPr>
      </w:pPr>
    </w:p>
    <w:p w14:paraId="2E6CAC0A" w14:textId="77777777" w:rsidR="00917695" w:rsidRDefault="00917695">
      <w:pPr>
        <w:rPr>
          <w:b/>
          <w:bCs/>
        </w:rPr>
      </w:pPr>
    </w:p>
    <w:p w14:paraId="271ACCC8" w14:textId="77777777" w:rsidR="0098472F" w:rsidRDefault="0098472F">
      <w:pPr>
        <w:rPr>
          <w:b/>
          <w:bCs/>
        </w:rPr>
      </w:pPr>
    </w:p>
    <w:p w14:paraId="4770E6B9" w14:textId="17EB06B2" w:rsidR="0040288A" w:rsidRPr="009F3406" w:rsidRDefault="008A1FB2">
      <w:pPr>
        <w:rPr>
          <w:b/>
          <w:bCs/>
          <w:sz w:val="24"/>
          <w:szCs w:val="24"/>
        </w:rPr>
      </w:pPr>
      <w:r w:rsidRPr="009F3406">
        <w:rPr>
          <w:b/>
          <w:bCs/>
          <w:sz w:val="24"/>
          <w:szCs w:val="24"/>
        </w:rPr>
        <w:lastRenderedPageBreak/>
        <w:t>Why did some people feel the need to reform the established Church?</w:t>
      </w:r>
    </w:p>
    <w:p w14:paraId="0BADD68A" w14:textId="748250CC" w:rsidR="00EA3DA3" w:rsidRPr="009F3406" w:rsidRDefault="001D3265" w:rsidP="009755FC">
      <w:pPr>
        <w:spacing w:line="480" w:lineRule="auto"/>
        <w:rPr>
          <w:sz w:val="24"/>
          <w:szCs w:val="24"/>
        </w:rPr>
      </w:pPr>
      <w:r w:rsidRPr="009F3406">
        <w:rPr>
          <w:sz w:val="24"/>
          <w:szCs w:val="24"/>
        </w:rPr>
        <w:t xml:space="preserve">The established Catholic Church </w:t>
      </w:r>
      <w:r w:rsidR="00442177" w:rsidRPr="009F3406">
        <w:rPr>
          <w:sz w:val="24"/>
          <w:szCs w:val="24"/>
        </w:rPr>
        <w:t xml:space="preserve">was critiqued </w:t>
      </w:r>
      <w:r w:rsidR="00710B3C" w:rsidRPr="009F3406">
        <w:rPr>
          <w:sz w:val="24"/>
          <w:szCs w:val="24"/>
        </w:rPr>
        <w:t>for its strict hierarchal nature</w:t>
      </w:r>
      <w:r w:rsidR="00C11619" w:rsidRPr="009F3406">
        <w:rPr>
          <w:sz w:val="24"/>
          <w:szCs w:val="24"/>
        </w:rPr>
        <w:t>, corruption and abuse of powe</w:t>
      </w:r>
      <w:r w:rsidR="00533721" w:rsidRPr="009F3406">
        <w:rPr>
          <w:sz w:val="24"/>
          <w:szCs w:val="24"/>
        </w:rPr>
        <w:t>r</w:t>
      </w:r>
      <w:r w:rsidR="00C11619" w:rsidRPr="009F3406">
        <w:rPr>
          <w:sz w:val="24"/>
          <w:szCs w:val="24"/>
        </w:rPr>
        <w:t>, and exploit</w:t>
      </w:r>
      <w:r w:rsidR="00F61DD8" w:rsidRPr="009F3406">
        <w:rPr>
          <w:sz w:val="24"/>
          <w:szCs w:val="24"/>
        </w:rPr>
        <w:t>ation</w:t>
      </w:r>
      <w:r w:rsidR="00C11619" w:rsidRPr="009F3406">
        <w:rPr>
          <w:sz w:val="24"/>
          <w:szCs w:val="24"/>
        </w:rPr>
        <w:t xml:space="preserve"> </w:t>
      </w:r>
      <w:r w:rsidR="00F61DD8" w:rsidRPr="009F3406">
        <w:rPr>
          <w:sz w:val="24"/>
          <w:szCs w:val="24"/>
        </w:rPr>
        <w:t xml:space="preserve">of </w:t>
      </w:r>
      <w:r w:rsidR="00FF0258" w:rsidRPr="009F3406">
        <w:rPr>
          <w:sz w:val="24"/>
          <w:szCs w:val="24"/>
        </w:rPr>
        <w:t xml:space="preserve">ordinary people for </w:t>
      </w:r>
      <w:r w:rsidR="003835AC" w:rsidRPr="009F3406">
        <w:rPr>
          <w:sz w:val="24"/>
          <w:szCs w:val="24"/>
        </w:rPr>
        <w:t xml:space="preserve">financial gain </w:t>
      </w:r>
      <w:r w:rsidR="00F61DD8" w:rsidRPr="009F3406">
        <w:rPr>
          <w:sz w:val="24"/>
          <w:szCs w:val="24"/>
        </w:rPr>
        <w:t>in the form of indulgences</w:t>
      </w:r>
      <w:r w:rsidR="000F3914" w:rsidRPr="009F3406">
        <w:rPr>
          <w:sz w:val="24"/>
          <w:szCs w:val="24"/>
        </w:rPr>
        <w:t xml:space="preserve">, with one of its key critics, </w:t>
      </w:r>
      <w:r w:rsidR="00273CD2" w:rsidRPr="009F3406">
        <w:rPr>
          <w:sz w:val="24"/>
          <w:szCs w:val="24"/>
        </w:rPr>
        <w:t>Martin Luther forming Lutheranism in opposition to this oppressive Church</w:t>
      </w:r>
      <w:r w:rsidR="008A377F" w:rsidRPr="009F3406">
        <w:rPr>
          <w:sz w:val="24"/>
          <w:szCs w:val="24"/>
        </w:rPr>
        <w:t xml:space="preserve">. </w:t>
      </w:r>
      <w:r w:rsidR="00270A72" w:rsidRPr="009F3406">
        <w:rPr>
          <w:sz w:val="24"/>
          <w:szCs w:val="24"/>
        </w:rPr>
        <w:t>S</w:t>
      </w:r>
      <w:r w:rsidR="00A63F91" w:rsidRPr="009F3406">
        <w:rPr>
          <w:sz w:val="24"/>
          <w:szCs w:val="24"/>
        </w:rPr>
        <w:t>ince the Break from Rome in 1540 with King Henry VIII Tudor</w:t>
      </w:r>
      <w:r w:rsidR="00533721" w:rsidRPr="009F3406">
        <w:rPr>
          <w:sz w:val="24"/>
          <w:szCs w:val="24"/>
        </w:rPr>
        <w:t>,</w:t>
      </w:r>
      <w:r w:rsidR="001F36B7" w:rsidRPr="009F3406">
        <w:rPr>
          <w:sz w:val="24"/>
          <w:szCs w:val="24"/>
        </w:rPr>
        <w:t xml:space="preserve"> m</w:t>
      </w:r>
      <w:r w:rsidR="00270A72" w:rsidRPr="009F3406">
        <w:rPr>
          <w:sz w:val="24"/>
          <w:szCs w:val="24"/>
        </w:rPr>
        <w:t xml:space="preserve">any </w:t>
      </w:r>
      <w:r w:rsidR="005F5898" w:rsidRPr="009F3406">
        <w:rPr>
          <w:sz w:val="24"/>
          <w:szCs w:val="24"/>
        </w:rPr>
        <w:t>P</w:t>
      </w:r>
      <w:r w:rsidR="00270A72" w:rsidRPr="009F3406">
        <w:rPr>
          <w:sz w:val="24"/>
          <w:szCs w:val="24"/>
        </w:rPr>
        <w:t>rotestant sects of Christianity emerged</w:t>
      </w:r>
      <w:r w:rsidR="001F36B7" w:rsidRPr="009F3406">
        <w:rPr>
          <w:sz w:val="24"/>
          <w:szCs w:val="24"/>
        </w:rPr>
        <w:t xml:space="preserve"> alongside this new Anglican </w:t>
      </w:r>
      <w:r w:rsidR="00167E32" w:rsidRPr="009F3406">
        <w:rPr>
          <w:sz w:val="24"/>
          <w:szCs w:val="24"/>
        </w:rPr>
        <w:t xml:space="preserve">tradition. </w:t>
      </w:r>
      <w:r w:rsidR="00737F09" w:rsidRPr="009F3406">
        <w:rPr>
          <w:sz w:val="24"/>
          <w:szCs w:val="24"/>
        </w:rPr>
        <w:t xml:space="preserve">As these new ideas all emerged </w:t>
      </w:r>
      <w:r w:rsidR="00533721" w:rsidRPr="009F3406">
        <w:rPr>
          <w:sz w:val="24"/>
          <w:szCs w:val="24"/>
        </w:rPr>
        <w:t>alongside</w:t>
      </w:r>
      <w:r w:rsidR="00737F09" w:rsidRPr="009F3406">
        <w:rPr>
          <w:sz w:val="24"/>
          <w:szCs w:val="24"/>
        </w:rPr>
        <w:t xml:space="preserve"> the invention of the printing press in 1440 t</w:t>
      </w:r>
      <w:r w:rsidR="0008139C" w:rsidRPr="009F3406">
        <w:rPr>
          <w:sz w:val="24"/>
          <w:szCs w:val="24"/>
        </w:rPr>
        <w:t xml:space="preserve">hese </w:t>
      </w:r>
      <w:r w:rsidR="005F5898" w:rsidRPr="009F3406">
        <w:rPr>
          <w:sz w:val="24"/>
          <w:szCs w:val="24"/>
        </w:rPr>
        <w:t>new sects</w:t>
      </w:r>
      <w:r w:rsidR="00C173B6" w:rsidRPr="009F3406">
        <w:rPr>
          <w:sz w:val="24"/>
          <w:szCs w:val="24"/>
        </w:rPr>
        <w:t xml:space="preserve"> </w:t>
      </w:r>
      <w:r w:rsidR="00E13FC5" w:rsidRPr="009F3406">
        <w:rPr>
          <w:sz w:val="24"/>
          <w:szCs w:val="24"/>
        </w:rPr>
        <w:t>‘</w:t>
      </w:r>
      <w:r w:rsidR="00C173B6" w:rsidRPr="009F3406">
        <w:rPr>
          <w:sz w:val="24"/>
          <w:szCs w:val="24"/>
        </w:rPr>
        <w:t xml:space="preserve">were viewed as the product </w:t>
      </w:r>
      <w:r w:rsidR="00421328" w:rsidRPr="009F3406">
        <w:rPr>
          <w:sz w:val="24"/>
          <w:szCs w:val="24"/>
        </w:rPr>
        <w:t>of a single energy, unwitting agents or heralds of modernity</w:t>
      </w:r>
      <w:r w:rsidR="005F5898" w:rsidRPr="009F3406">
        <w:rPr>
          <w:sz w:val="24"/>
          <w:szCs w:val="24"/>
        </w:rPr>
        <w:t>, and so, self-evidently superior to the medieval Catholicism they replaced</w:t>
      </w:r>
      <w:r w:rsidR="00C173B6" w:rsidRPr="009F3406">
        <w:rPr>
          <w:sz w:val="24"/>
          <w:szCs w:val="24"/>
        </w:rPr>
        <w:t>.</w:t>
      </w:r>
      <w:r w:rsidR="005F5898" w:rsidRPr="009F3406">
        <w:rPr>
          <w:sz w:val="24"/>
          <w:szCs w:val="24"/>
        </w:rPr>
        <w:t>’</w:t>
      </w:r>
      <w:r w:rsidR="00D16ECD" w:rsidRPr="009F3406">
        <w:rPr>
          <w:rStyle w:val="FootnoteReference"/>
          <w:sz w:val="24"/>
          <w:szCs w:val="24"/>
        </w:rPr>
        <w:footnoteReference w:id="21"/>
      </w:r>
      <w:r w:rsidR="00E13FC5" w:rsidRPr="009F3406">
        <w:rPr>
          <w:sz w:val="24"/>
          <w:szCs w:val="24"/>
        </w:rPr>
        <w:t xml:space="preserve"> </w:t>
      </w:r>
      <w:r w:rsidR="00705975" w:rsidRPr="009F3406">
        <w:rPr>
          <w:sz w:val="24"/>
          <w:szCs w:val="24"/>
        </w:rPr>
        <w:t>The established Church</w:t>
      </w:r>
      <w:r w:rsidR="00F27F08" w:rsidRPr="009F3406">
        <w:rPr>
          <w:sz w:val="24"/>
          <w:szCs w:val="24"/>
        </w:rPr>
        <w:t xml:space="preserve">’s Eucharist was </w:t>
      </w:r>
      <w:r w:rsidR="003A1965" w:rsidRPr="009F3406">
        <w:rPr>
          <w:sz w:val="24"/>
          <w:szCs w:val="24"/>
        </w:rPr>
        <w:t>Papal focused rather than individualistic</w:t>
      </w:r>
      <w:r w:rsidR="00E90488" w:rsidRPr="009F3406">
        <w:rPr>
          <w:sz w:val="24"/>
          <w:szCs w:val="24"/>
        </w:rPr>
        <w:t xml:space="preserve">, with the </w:t>
      </w:r>
      <w:r w:rsidR="007D0C88" w:rsidRPr="009F3406">
        <w:rPr>
          <w:sz w:val="24"/>
          <w:szCs w:val="24"/>
        </w:rPr>
        <w:t xml:space="preserve">vicar at the altar seperated from the communion </w:t>
      </w:r>
      <w:r w:rsidR="002026D0" w:rsidRPr="009F3406">
        <w:rPr>
          <w:sz w:val="24"/>
          <w:szCs w:val="24"/>
        </w:rPr>
        <w:t>by a Rood screen</w:t>
      </w:r>
      <w:r w:rsidR="00D934F5" w:rsidRPr="009F3406">
        <w:rPr>
          <w:sz w:val="24"/>
          <w:szCs w:val="24"/>
        </w:rPr>
        <w:t xml:space="preserve"> and all </w:t>
      </w:r>
      <w:r w:rsidR="00B01C86" w:rsidRPr="009F3406">
        <w:rPr>
          <w:sz w:val="24"/>
          <w:szCs w:val="24"/>
        </w:rPr>
        <w:t xml:space="preserve">worship was </w:t>
      </w:r>
      <w:r w:rsidR="00D934F5" w:rsidRPr="009F3406">
        <w:rPr>
          <w:sz w:val="24"/>
          <w:szCs w:val="24"/>
        </w:rPr>
        <w:t xml:space="preserve">performed in Latin </w:t>
      </w:r>
      <w:r w:rsidR="00B01C86" w:rsidRPr="009F3406">
        <w:rPr>
          <w:sz w:val="24"/>
          <w:szCs w:val="24"/>
        </w:rPr>
        <w:t xml:space="preserve">with </w:t>
      </w:r>
      <w:r w:rsidR="00D934F5" w:rsidRPr="009F3406">
        <w:rPr>
          <w:sz w:val="24"/>
          <w:szCs w:val="24"/>
        </w:rPr>
        <w:t>Gregorian chant</w:t>
      </w:r>
      <w:r w:rsidR="00B01C86" w:rsidRPr="009F3406">
        <w:rPr>
          <w:sz w:val="24"/>
          <w:szCs w:val="24"/>
        </w:rPr>
        <w:t xml:space="preserve">ing </w:t>
      </w:r>
      <w:r w:rsidR="00A352E2" w:rsidRPr="009F3406">
        <w:rPr>
          <w:sz w:val="24"/>
          <w:szCs w:val="24"/>
        </w:rPr>
        <w:t xml:space="preserve">performed </w:t>
      </w:r>
      <w:r w:rsidR="00B01C86" w:rsidRPr="009F3406">
        <w:rPr>
          <w:sz w:val="24"/>
          <w:szCs w:val="24"/>
        </w:rPr>
        <w:t>by monks</w:t>
      </w:r>
      <w:r w:rsidR="003F41C7" w:rsidRPr="009F3406">
        <w:rPr>
          <w:sz w:val="24"/>
          <w:szCs w:val="24"/>
        </w:rPr>
        <w:t xml:space="preserve">. </w:t>
      </w:r>
      <w:r w:rsidR="000D7476" w:rsidRPr="009F3406">
        <w:rPr>
          <w:sz w:val="24"/>
          <w:szCs w:val="24"/>
        </w:rPr>
        <w:t xml:space="preserve">Martin Luther, among other reformers, </w:t>
      </w:r>
      <w:r w:rsidR="00143BA6" w:rsidRPr="009F3406">
        <w:rPr>
          <w:sz w:val="24"/>
          <w:szCs w:val="24"/>
        </w:rPr>
        <w:t>criticised</w:t>
      </w:r>
      <w:r w:rsidR="007D6637" w:rsidRPr="009F3406">
        <w:rPr>
          <w:sz w:val="24"/>
          <w:szCs w:val="24"/>
        </w:rPr>
        <w:t xml:space="preserve"> the Church’s use of indulgences in order to build </w:t>
      </w:r>
      <w:r w:rsidR="006B0DB7" w:rsidRPr="009F3406">
        <w:rPr>
          <w:sz w:val="24"/>
          <w:szCs w:val="24"/>
        </w:rPr>
        <w:t>new churches by promising l</w:t>
      </w:r>
      <w:r w:rsidR="00E84418" w:rsidRPr="009F3406">
        <w:rPr>
          <w:sz w:val="24"/>
          <w:szCs w:val="24"/>
        </w:rPr>
        <w:t>essened</w:t>
      </w:r>
      <w:r w:rsidR="006B0DB7" w:rsidRPr="009F3406">
        <w:rPr>
          <w:sz w:val="24"/>
          <w:szCs w:val="24"/>
        </w:rPr>
        <w:t xml:space="preserve"> time in purgatory </w:t>
      </w:r>
      <w:r w:rsidR="00E84418" w:rsidRPr="009F3406">
        <w:rPr>
          <w:sz w:val="24"/>
          <w:szCs w:val="24"/>
        </w:rPr>
        <w:t>and Luther claimed</w:t>
      </w:r>
      <w:r w:rsidR="006B0DB7" w:rsidRPr="009F3406">
        <w:rPr>
          <w:sz w:val="24"/>
          <w:szCs w:val="24"/>
        </w:rPr>
        <w:t xml:space="preserve"> that ‘</w:t>
      </w:r>
      <w:r w:rsidR="00766B8C" w:rsidRPr="009F3406">
        <w:rPr>
          <w:sz w:val="24"/>
          <w:szCs w:val="24"/>
        </w:rPr>
        <w:t xml:space="preserve">the dying </w:t>
      </w:r>
      <w:proofErr w:type="gramStart"/>
      <w:r w:rsidR="00766B8C" w:rsidRPr="009F3406">
        <w:rPr>
          <w:sz w:val="24"/>
          <w:szCs w:val="24"/>
        </w:rPr>
        <w:t>are</w:t>
      </w:r>
      <w:proofErr w:type="gramEnd"/>
      <w:r w:rsidR="00766B8C" w:rsidRPr="009F3406">
        <w:rPr>
          <w:sz w:val="24"/>
          <w:szCs w:val="24"/>
        </w:rPr>
        <w:t xml:space="preserve"> freed from all penalties’</w:t>
      </w:r>
      <w:r w:rsidR="00E84418" w:rsidRPr="009F3406">
        <w:rPr>
          <w:sz w:val="24"/>
          <w:szCs w:val="24"/>
        </w:rPr>
        <w:t xml:space="preserve"> and the Pope </w:t>
      </w:r>
      <w:r w:rsidR="008558F2" w:rsidRPr="009F3406">
        <w:rPr>
          <w:sz w:val="24"/>
          <w:szCs w:val="24"/>
        </w:rPr>
        <w:t>‘does not intend to remit, and cannot remit any penalties</w:t>
      </w:r>
      <w:r w:rsidR="00B21E8E" w:rsidRPr="009F3406">
        <w:rPr>
          <w:sz w:val="24"/>
          <w:szCs w:val="24"/>
        </w:rPr>
        <w:t>’</w:t>
      </w:r>
      <w:r w:rsidR="00766B8C" w:rsidRPr="009F3406">
        <w:rPr>
          <w:sz w:val="24"/>
          <w:szCs w:val="24"/>
        </w:rPr>
        <w:t>.</w:t>
      </w:r>
      <w:r w:rsidR="00B21E8E" w:rsidRPr="009F3406">
        <w:rPr>
          <w:rStyle w:val="FootnoteReference"/>
          <w:sz w:val="24"/>
          <w:szCs w:val="24"/>
        </w:rPr>
        <w:footnoteReference w:id="22"/>
      </w:r>
      <w:r w:rsidR="00143BA6" w:rsidRPr="009F3406">
        <w:rPr>
          <w:sz w:val="24"/>
          <w:szCs w:val="24"/>
        </w:rPr>
        <w:t xml:space="preserve"> </w:t>
      </w:r>
      <w:r w:rsidR="00F477FB" w:rsidRPr="009F3406">
        <w:rPr>
          <w:sz w:val="24"/>
          <w:szCs w:val="24"/>
        </w:rPr>
        <w:t>Th</w:t>
      </w:r>
      <w:r w:rsidR="005F5D26" w:rsidRPr="009F3406">
        <w:rPr>
          <w:sz w:val="24"/>
          <w:szCs w:val="24"/>
        </w:rPr>
        <w:t>ese</w:t>
      </w:r>
      <w:r w:rsidR="00F477FB" w:rsidRPr="009F3406">
        <w:rPr>
          <w:sz w:val="24"/>
          <w:szCs w:val="24"/>
        </w:rPr>
        <w:t xml:space="preserve"> w</w:t>
      </w:r>
      <w:r w:rsidR="005F5D26" w:rsidRPr="009F3406">
        <w:rPr>
          <w:sz w:val="24"/>
          <w:szCs w:val="24"/>
        </w:rPr>
        <w:t>ere</w:t>
      </w:r>
      <w:r w:rsidR="00F477FB" w:rsidRPr="009F3406">
        <w:rPr>
          <w:sz w:val="24"/>
          <w:szCs w:val="24"/>
        </w:rPr>
        <w:t xml:space="preserve"> the main </w:t>
      </w:r>
      <w:r w:rsidR="008A5CFE" w:rsidRPr="009F3406">
        <w:rPr>
          <w:sz w:val="24"/>
          <w:szCs w:val="24"/>
        </w:rPr>
        <w:t>disputes</w:t>
      </w:r>
      <w:r w:rsidR="00CE1F10" w:rsidRPr="009F3406">
        <w:rPr>
          <w:sz w:val="24"/>
          <w:szCs w:val="24"/>
        </w:rPr>
        <w:t xml:space="preserve"> </w:t>
      </w:r>
      <w:r w:rsidR="007D2D4A" w:rsidRPr="009F3406">
        <w:rPr>
          <w:sz w:val="24"/>
          <w:szCs w:val="24"/>
        </w:rPr>
        <w:t>the reformers had with the Catholic Church, advocating for vernacular Bible</w:t>
      </w:r>
      <w:r w:rsidR="00E84E8C" w:rsidRPr="009F3406">
        <w:rPr>
          <w:sz w:val="24"/>
          <w:szCs w:val="24"/>
        </w:rPr>
        <w:t>s</w:t>
      </w:r>
      <w:r w:rsidR="007D2D4A" w:rsidRPr="009F3406">
        <w:rPr>
          <w:sz w:val="24"/>
          <w:szCs w:val="24"/>
        </w:rPr>
        <w:t xml:space="preserve"> </w:t>
      </w:r>
      <w:r w:rsidR="004C75AD" w:rsidRPr="009F3406">
        <w:rPr>
          <w:sz w:val="24"/>
          <w:szCs w:val="24"/>
        </w:rPr>
        <w:t xml:space="preserve">and communion inclusion in </w:t>
      </w:r>
      <w:r w:rsidR="00E84E8C" w:rsidRPr="009F3406">
        <w:rPr>
          <w:sz w:val="24"/>
          <w:szCs w:val="24"/>
        </w:rPr>
        <w:t xml:space="preserve">all forms of worship. </w:t>
      </w:r>
    </w:p>
    <w:p w14:paraId="3D5A23E9" w14:textId="77777777" w:rsidR="00B567A2" w:rsidRPr="009F3406" w:rsidRDefault="00B567A2" w:rsidP="009755FC">
      <w:pPr>
        <w:spacing w:line="480" w:lineRule="auto"/>
        <w:rPr>
          <w:sz w:val="24"/>
          <w:szCs w:val="24"/>
        </w:rPr>
      </w:pPr>
    </w:p>
    <w:p w14:paraId="4FC61380" w14:textId="0EE838DE" w:rsidR="00DA3093" w:rsidRPr="009F3406" w:rsidRDefault="00DA3093" w:rsidP="009755FC">
      <w:pPr>
        <w:spacing w:line="480" w:lineRule="auto"/>
        <w:rPr>
          <w:sz w:val="24"/>
          <w:szCs w:val="24"/>
        </w:rPr>
      </w:pPr>
      <w:r w:rsidRPr="009F3406">
        <w:rPr>
          <w:sz w:val="24"/>
          <w:szCs w:val="24"/>
        </w:rPr>
        <w:t xml:space="preserve">Henry VIII was proclaimed as the ‘Defender of the </w:t>
      </w:r>
      <w:r w:rsidR="00B17FB6" w:rsidRPr="009F3406">
        <w:rPr>
          <w:sz w:val="24"/>
          <w:szCs w:val="24"/>
        </w:rPr>
        <w:t>f</w:t>
      </w:r>
      <w:r w:rsidRPr="009F3406">
        <w:rPr>
          <w:sz w:val="24"/>
          <w:szCs w:val="24"/>
        </w:rPr>
        <w:t xml:space="preserve">aith’ by Pope Leo X in 1521, </w:t>
      </w:r>
      <w:r w:rsidR="0038343F" w:rsidRPr="009F3406">
        <w:rPr>
          <w:sz w:val="24"/>
          <w:szCs w:val="24"/>
        </w:rPr>
        <w:t>this title</w:t>
      </w:r>
      <w:r w:rsidRPr="009F3406">
        <w:rPr>
          <w:sz w:val="24"/>
          <w:szCs w:val="24"/>
        </w:rPr>
        <w:t xml:space="preserve"> remained after his and the Catholic Church’s disagreement on divorce</w:t>
      </w:r>
      <w:r w:rsidR="00944DCF" w:rsidRPr="009F3406">
        <w:rPr>
          <w:sz w:val="24"/>
          <w:szCs w:val="24"/>
        </w:rPr>
        <w:t xml:space="preserve"> in</w:t>
      </w:r>
      <w:r w:rsidR="00BC312A" w:rsidRPr="009F3406">
        <w:rPr>
          <w:sz w:val="24"/>
          <w:szCs w:val="24"/>
        </w:rPr>
        <w:t xml:space="preserve"> 1520</w:t>
      </w:r>
      <w:r w:rsidR="00F6173C" w:rsidRPr="009F3406">
        <w:rPr>
          <w:sz w:val="24"/>
          <w:szCs w:val="24"/>
        </w:rPr>
        <w:t>.</w:t>
      </w:r>
      <w:r w:rsidR="00E91779" w:rsidRPr="009F3406">
        <w:rPr>
          <w:rStyle w:val="FootnoteReference"/>
          <w:sz w:val="24"/>
          <w:szCs w:val="24"/>
        </w:rPr>
        <w:footnoteReference w:id="23"/>
      </w:r>
      <w:r w:rsidR="00F6173C" w:rsidRPr="009F3406">
        <w:rPr>
          <w:sz w:val="24"/>
          <w:szCs w:val="24"/>
        </w:rPr>
        <w:t xml:space="preserve"> This social disagreement </w:t>
      </w:r>
      <w:r w:rsidR="004B2F72" w:rsidRPr="009F3406">
        <w:rPr>
          <w:sz w:val="24"/>
          <w:szCs w:val="24"/>
        </w:rPr>
        <w:t xml:space="preserve">is considered the catalyst </w:t>
      </w:r>
      <w:r w:rsidR="00080644" w:rsidRPr="009F3406">
        <w:rPr>
          <w:sz w:val="24"/>
          <w:szCs w:val="24"/>
        </w:rPr>
        <w:t>of</w:t>
      </w:r>
      <w:r w:rsidR="004B2F72" w:rsidRPr="009F3406">
        <w:rPr>
          <w:sz w:val="24"/>
          <w:szCs w:val="24"/>
        </w:rPr>
        <w:t xml:space="preserve"> </w:t>
      </w:r>
      <w:r w:rsidR="00E91779" w:rsidRPr="009F3406">
        <w:rPr>
          <w:sz w:val="24"/>
          <w:szCs w:val="24"/>
        </w:rPr>
        <w:t>England’s</w:t>
      </w:r>
      <w:r w:rsidRPr="009F3406">
        <w:rPr>
          <w:sz w:val="24"/>
          <w:szCs w:val="24"/>
        </w:rPr>
        <w:t xml:space="preserve"> Break </w:t>
      </w:r>
      <w:r w:rsidR="001F1AF4" w:rsidRPr="009F3406">
        <w:rPr>
          <w:sz w:val="24"/>
          <w:szCs w:val="24"/>
        </w:rPr>
        <w:t>from</w:t>
      </w:r>
      <w:r w:rsidRPr="009F3406">
        <w:rPr>
          <w:sz w:val="24"/>
          <w:szCs w:val="24"/>
        </w:rPr>
        <w:t xml:space="preserve"> Rome in 1540</w:t>
      </w:r>
      <w:r w:rsidR="001F1AF4" w:rsidRPr="009F3406">
        <w:rPr>
          <w:sz w:val="24"/>
          <w:szCs w:val="24"/>
        </w:rPr>
        <w:t xml:space="preserve">, </w:t>
      </w:r>
      <w:r w:rsidR="00F5201C" w:rsidRPr="009F3406">
        <w:rPr>
          <w:sz w:val="24"/>
          <w:szCs w:val="24"/>
        </w:rPr>
        <w:t>form</w:t>
      </w:r>
      <w:r w:rsidR="00855FA4" w:rsidRPr="009F3406">
        <w:rPr>
          <w:sz w:val="24"/>
          <w:szCs w:val="24"/>
        </w:rPr>
        <w:t>ing</w:t>
      </w:r>
      <w:r w:rsidR="00F5201C" w:rsidRPr="009F3406">
        <w:rPr>
          <w:sz w:val="24"/>
          <w:szCs w:val="24"/>
        </w:rPr>
        <w:t xml:space="preserve"> a</w:t>
      </w:r>
      <w:r w:rsidR="001F1AF4" w:rsidRPr="009F3406">
        <w:rPr>
          <w:sz w:val="24"/>
          <w:szCs w:val="24"/>
        </w:rPr>
        <w:t xml:space="preserve"> ‘contest between Church and Commonwealth… [</w:t>
      </w:r>
      <w:r w:rsidR="008E147C" w:rsidRPr="009F3406">
        <w:rPr>
          <w:sz w:val="24"/>
          <w:szCs w:val="24"/>
        </w:rPr>
        <w:t>creat</w:t>
      </w:r>
      <w:r w:rsidR="00855FA4" w:rsidRPr="009F3406">
        <w:rPr>
          <w:sz w:val="24"/>
          <w:szCs w:val="24"/>
        </w:rPr>
        <w:t>ing</w:t>
      </w:r>
      <w:r w:rsidR="001F1AF4" w:rsidRPr="009F3406">
        <w:rPr>
          <w:sz w:val="24"/>
          <w:szCs w:val="24"/>
        </w:rPr>
        <w:t>] competition between the Pope and a monarch… in their claim to jurisdiction.’</w:t>
      </w:r>
      <w:r w:rsidR="001F1AF4" w:rsidRPr="009F3406">
        <w:rPr>
          <w:rStyle w:val="FootnoteReference"/>
          <w:sz w:val="24"/>
          <w:szCs w:val="24"/>
        </w:rPr>
        <w:footnoteReference w:id="24"/>
      </w:r>
      <w:r w:rsidR="001F1AF4" w:rsidRPr="009F3406">
        <w:rPr>
          <w:sz w:val="24"/>
          <w:szCs w:val="24"/>
        </w:rPr>
        <w:t xml:space="preserve"> </w:t>
      </w:r>
      <w:r w:rsidR="00160211" w:rsidRPr="009F3406">
        <w:rPr>
          <w:sz w:val="24"/>
          <w:szCs w:val="24"/>
        </w:rPr>
        <w:t xml:space="preserve">The </w:t>
      </w:r>
      <w:r w:rsidR="00544D61" w:rsidRPr="009F3406">
        <w:rPr>
          <w:sz w:val="24"/>
          <w:szCs w:val="24"/>
        </w:rPr>
        <w:t xml:space="preserve">Act of Supremacy in 1534 </w:t>
      </w:r>
      <w:r w:rsidR="00626BFB" w:rsidRPr="009F3406">
        <w:rPr>
          <w:sz w:val="24"/>
          <w:szCs w:val="24"/>
        </w:rPr>
        <w:t xml:space="preserve">supported the reformers’ </w:t>
      </w:r>
      <w:r w:rsidR="0015481D" w:rsidRPr="009F3406">
        <w:rPr>
          <w:sz w:val="24"/>
          <w:szCs w:val="24"/>
        </w:rPr>
        <w:t xml:space="preserve">concerns </w:t>
      </w:r>
      <w:r w:rsidR="00706BFD" w:rsidRPr="009F3406">
        <w:rPr>
          <w:sz w:val="24"/>
          <w:szCs w:val="24"/>
        </w:rPr>
        <w:t>with the Church’s adminis</w:t>
      </w:r>
      <w:r w:rsidR="004973B4" w:rsidRPr="009F3406">
        <w:rPr>
          <w:sz w:val="24"/>
          <w:szCs w:val="24"/>
        </w:rPr>
        <w:t>trative</w:t>
      </w:r>
      <w:r w:rsidR="00706BFD" w:rsidRPr="009F3406">
        <w:rPr>
          <w:sz w:val="24"/>
          <w:szCs w:val="24"/>
        </w:rPr>
        <w:t xml:space="preserve"> problems</w:t>
      </w:r>
      <w:r w:rsidR="001D0BC1" w:rsidRPr="009F3406">
        <w:rPr>
          <w:sz w:val="24"/>
          <w:szCs w:val="24"/>
        </w:rPr>
        <w:t xml:space="preserve"> </w:t>
      </w:r>
      <w:r w:rsidR="001F1AF4" w:rsidRPr="009F3406">
        <w:rPr>
          <w:sz w:val="24"/>
          <w:szCs w:val="24"/>
        </w:rPr>
        <w:t>seen during</w:t>
      </w:r>
      <w:r w:rsidR="001D0BC1" w:rsidRPr="009F3406">
        <w:rPr>
          <w:sz w:val="24"/>
          <w:szCs w:val="24"/>
        </w:rPr>
        <w:t xml:space="preserve"> the Great Schism of 1054</w:t>
      </w:r>
      <w:r w:rsidR="00053B08" w:rsidRPr="009F3406">
        <w:rPr>
          <w:sz w:val="24"/>
          <w:szCs w:val="24"/>
        </w:rPr>
        <w:t>.</w:t>
      </w:r>
      <w:r w:rsidR="001D0BC1" w:rsidRPr="009F3406">
        <w:rPr>
          <w:sz w:val="24"/>
          <w:szCs w:val="24"/>
        </w:rPr>
        <w:t xml:space="preserve"> </w:t>
      </w:r>
      <w:r w:rsidR="00053B08" w:rsidRPr="009F3406">
        <w:rPr>
          <w:sz w:val="24"/>
          <w:szCs w:val="24"/>
        </w:rPr>
        <w:t>W</w:t>
      </w:r>
      <w:r w:rsidR="001D0BC1" w:rsidRPr="009F3406">
        <w:rPr>
          <w:sz w:val="24"/>
          <w:szCs w:val="24"/>
        </w:rPr>
        <w:t xml:space="preserve">ith </w:t>
      </w:r>
      <w:r w:rsidR="00C2776E" w:rsidRPr="009F3406">
        <w:rPr>
          <w:sz w:val="24"/>
          <w:szCs w:val="24"/>
        </w:rPr>
        <w:t xml:space="preserve">Michael Cerularius </w:t>
      </w:r>
      <w:r w:rsidR="001D0BC1" w:rsidRPr="009F3406">
        <w:rPr>
          <w:sz w:val="24"/>
          <w:szCs w:val="24"/>
        </w:rPr>
        <w:t xml:space="preserve">in the East </w:t>
      </w:r>
      <w:r w:rsidR="007F27AE" w:rsidRPr="009F3406">
        <w:rPr>
          <w:sz w:val="24"/>
          <w:szCs w:val="24"/>
        </w:rPr>
        <w:t xml:space="preserve">vs. </w:t>
      </w:r>
      <w:r w:rsidR="00C2776E" w:rsidRPr="009F3406">
        <w:rPr>
          <w:sz w:val="24"/>
          <w:szCs w:val="24"/>
        </w:rPr>
        <w:t xml:space="preserve">Pope Leo IX in </w:t>
      </w:r>
      <w:r w:rsidR="001D0BC1" w:rsidRPr="009F3406">
        <w:rPr>
          <w:sz w:val="24"/>
          <w:szCs w:val="24"/>
        </w:rPr>
        <w:t>the West</w:t>
      </w:r>
      <w:r w:rsidR="001360C5" w:rsidRPr="009F3406">
        <w:rPr>
          <w:sz w:val="24"/>
          <w:szCs w:val="24"/>
        </w:rPr>
        <w:t>, this earl</w:t>
      </w:r>
      <w:r w:rsidR="00F5201C" w:rsidRPr="009F3406">
        <w:rPr>
          <w:sz w:val="24"/>
          <w:szCs w:val="24"/>
        </w:rPr>
        <w:t>ier</w:t>
      </w:r>
      <w:r w:rsidR="001360C5" w:rsidRPr="009F3406">
        <w:rPr>
          <w:sz w:val="24"/>
          <w:szCs w:val="24"/>
        </w:rPr>
        <w:t xml:space="preserve"> division of the Catholic Church reinforces the Protestant Reformers’ </w:t>
      </w:r>
      <w:r w:rsidR="00647038" w:rsidRPr="009F3406">
        <w:rPr>
          <w:sz w:val="24"/>
          <w:szCs w:val="24"/>
        </w:rPr>
        <w:t xml:space="preserve">anxieties </w:t>
      </w:r>
      <w:r w:rsidR="00706F2B" w:rsidRPr="009F3406">
        <w:rPr>
          <w:sz w:val="24"/>
          <w:szCs w:val="24"/>
        </w:rPr>
        <w:t>over the fragil</w:t>
      </w:r>
      <w:r w:rsidR="00F15478" w:rsidRPr="009F3406">
        <w:rPr>
          <w:sz w:val="24"/>
          <w:szCs w:val="24"/>
        </w:rPr>
        <w:t>ity of</w:t>
      </w:r>
      <w:r w:rsidR="00706F2B" w:rsidRPr="009F3406">
        <w:rPr>
          <w:sz w:val="24"/>
          <w:szCs w:val="24"/>
        </w:rPr>
        <w:t xml:space="preserve"> </w:t>
      </w:r>
      <w:r w:rsidR="00706F2B" w:rsidRPr="009F3406">
        <w:rPr>
          <w:sz w:val="24"/>
          <w:szCs w:val="24"/>
        </w:rPr>
        <w:lastRenderedPageBreak/>
        <w:t>Papal authority.</w:t>
      </w:r>
      <w:r w:rsidR="00A21173" w:rsidRPr="009F3406">
        <w:rPr>
          <w:sz w:val="24"/>
          <w:szCs w:val="24"/>
        </w:rPr>
        <w:t xml:space="preserve"> </w:t>
      </w:r>
      <w:r w:rsidR="00274300" w:rsidRPr="009F3406">
        <w:rPr>
          <w:sz w:val="24"/>
          <w:szCs w:val="24"/>
        </w:rPr>
        <w:t xml:space="preserve">These administrative </w:t>
      </w:r>
      <w:r w:rsidR="009D1C87" w:rsidRPr="009F3406">
        <w:rPr>
          <w:sz w:val="24"/>
          <w:szCs w:val="24"/>
        </w:rPr>
        <w:t xml:space="preserve">changes </w:t>
      </w:r>
      <w:r w:rsidR="00522D47" w:rsidRPr="009F3406">
        <w:rPr>
          <w:sz w:val="24"/>
          <w:szCs w:val="24"/>
        </w:rPr>
        <w:t xml:space="preserve">backed the call </w:t>
      </w:r>
      <w:r w:rsidR="00301A0E" w:rsidRPr="009F3406">
        <w:rPr>
          <w:sz w:val="24"/>
          <w:szCs w:val="24"/>
        </w:rPr>
        <w:t>for</w:t>
      </w:r>
      <w:r w:rsidR="00522D47" w:rsidRPr="009F3406">
        <w:rPr>
          <w:sz w:val="24"/>
          <w:szCs w:val="24"/>
        </w:rPr>
        <w:t xml:space="preserve"> religious </w:t>
      </w:r>
      <w:r w:rsidR="00F83E7F" w:rsidRPr="009F3406">
        <w:rPr>
          <w:sz w:val="24"/>
          <w:szCs w:val="24"/>
        </w:rPr>
        <w:t>reform</w:t>
      </w:r>
      <w:r w:rsidR="00522D47" w:rsidRPr="009F3406">
        <w:rPr>
          <w:sz w:val="24"/>
          <w:szCs w:val="24"/>
        </w:rPr>
        <w:t xml:space="preserve"> in </w:t>
      </w:r>
      <w:r w:rsidR="00E52D3D" w:rsidRPr="009F3406">
        <w:rPr>
          <w:sz w:val="24"/>
          <w:szCs w:val="24"/>
        </w:rPr>
        <w:t>the 1500s</w:t>
      </w:r>
      <w:r w:rsidR="00F83E7F" w:rsidRPr="009F3406">
        <w:rPr>
          <w:sz w:val="24"/>
          <w:szCs w:val="24"/>
        </w:rPr>
        <w:t xml:space="preserve"> by Martin Luther</w:t>
      </w:r>
      <w:r w:rsidR="00951D92" w:rsidRPr="009F3406">
        <w:rPr>
          <w:sz w:val="24"/>
          <w:szCs w:val="24"/>
        </w:rPr>
        <w:t xml:space="preserve">, </w:t>
      </w:r>
      <w:r w:rsidR="00F5201C" w:rsidRPr="009F3406">
        <w:rPr>
          <w:sz w:val="24"/>
          <w:szCs w:val="24"/>
        </w:rPr>
        <w:t>with</w:t>
      </w:r>
      <w:r w:rsidR="00951D92" w:rsidRPr="009F3406">
        <w:rPr>
          <w:sz w:val="24"/>
          <w:szCs w:val="24"/>
        </w:rPr>
        <w:t xml:space="preserve"> </w:t>
      </w:r>
      <w:r w:rsidR="00180E18" w:rsidRPr="009F3406">
        <w:rPr>
          <w:sz w:val="24"/>
          <w:szCs w:val="24"/>
        </w:rPr>
        <w:t>his</w:t>
      </w:r>
      <w:r w:rsidR="00944059" w:rsidRPr="009F3406">
        <w:rPr>
          <w:sz w:val="24"/>
          <w:szCs w:val="24"/>
        </w:rPr>
        <w:t xml:space="preserve"> </w:t>
      </w:r>
      <w:r w:rsidR="00180E18" w:rsidRPr="009F3406">
        <w:rPr>
          <w:sz w:val="24"/>
          <w:szCs w:val="24"/>
        </w:rPr>
        <w:t>‘angry critique</w:t>
      </w:r>
      <w:r w:rsidR="000077C2" w:rsidRPr="009F3406">
        <w:rPr>
          <w:sz w:val="24"/>
          <w:szCs w:val="24"/>
        </w:rPr>
        <w:t xml:space="preserve">… </w:t>
      </w:r>
      <w:r w:rsidR="00A32160" w:rsidRPr="009F3406">
        <w:rPr>
          <w:sz w:val="24"/>
          <w:szCs w:val="24"/>
        </w:rPr>
        <w:t>[rapidly escalated</w:t>
      </w:r>
      <w:r w:rsidR="00433931" w:rsidRPr="009F3406">
        <w:rPr>
          <w:sz w:val="24"/>
          <w:szCs w:val="24"/>
        </w:rPr>
        <w:t>]</w:t>
      </w:r>
      <w:r w:rsidR="007F19F8" w:rsidRPr="009F3406">
        <w:rPr>
          <w:sz w:val="24"/>
          <w:szCs w:val="24"/>
        </w:rPr>
        <w:t xml:space="preserve"> into a more fundamental challenge to the theological structures’</w:t>
      </w:r>
      <w:r w:rsidR="00644F25" w:rsidRPr="009F3406">
        <w:rPr>
          <w:sz w:val="24"/>
          <w:szCs w:val="24"/>
        </w:rPr>
        <w:t>.</w:t>
      </w:r>
      <w:r w:rsidR="00644F25" w:rsidRPr="009F3406">
        <w:rPr>
          <w:rStyle w:val="FootnoteReference"/>
          <w:sz w:val="24"/>
          <w:szCs w:val="24"/>
        </w:rPr>
        <w:footnoteReference w:id="25"/>
      </w:r>
      <w:r w:rsidR="003030A9" w:rsidRPr="009F3406">
        <w:rPr>
          <w:sz w:val="24"/>
          <w:szCs w:val="24"/>
        </w:rPr>
        <w:t xml:space="preserve"> </w:t>
      </w:r>
      <w:r w:rsidR="00F5201C" w:rsidRPr="009F3406">
        <w:rPr>
          <w:sz w:val="24"/>
          <w:szCs w:val="24"/>
        </w:rPr>
        <w:t xml:space="preserve">Luther may have influenced the </w:t>
      </w:r>
      <w:r w:rsidR="00A352E2" w:rsidRPr="009F3406">
        <w:rPr>
          <w:sz w:val="24"/>
          <w:szCs w:val="24"/>
        </w:rPr>
        <w:t>Archbishop Tillotson</w:t>
      </w:r>
      <w:r w:rsidR="00940A67" w:rsidRPr="009F3406">
        <w:rPr>
          <w:sz w:val="24"/>
          <w:szCs w:val="24"/>
        </w:rPr>
        <w:t xml:space="preserve"> of Canterbury</w:t>
      </w:r>
      <w:r w:rsidR="00F5201C" w:rsidRPr="009F3406">
        <w:rPr>
          <w:sz w:val="24"/>
          <w:szCs w:val="24"/>
        </w:rPr>
        <w:t>,</w:t>
      </w:r>
      <w:r w:rsidR="00A352E2" w:rsidRPr="009F3406">
        <w:rPr>
          <w:sz w:val="24"/>
          <w:szCs w:val="24"/>
        </w:rPr>
        <w:t xml:space="preserve"> </w:t>
      </w:r>
      <w:r w:rsidR="00F5201C" w:rsidRPr="009F3406">
        <w:rPr>
          <w:sz w:val="24"/>
          <w:szCs w:val="24"/>
        </w:rPr>
        <w:t xml:space="preserve">who </w:t>
      </w:r>
      <w:r w:rsidR="00A352E2" w:rsidRPr="009F3406">
        <w:rPr>
          <w:sz w:val="24"/>
          <w:szCs w:val="24"/>
        </w:rPr>
        <w:t>‘looked on the whole complex of popery; as such a corruption of the design of Christianity.’</w:t>
      </w:r>
      <w:r w:rsidR="00A352E2" w:rsidRPr="009F3406">
        <w:rPr>
          <w:rStyle w:val="FootnoteReference"/>
          <w:sz w:val="24"/>
          <w:szCs w:val="24"/>
        </w:rPr>
        <w:footnoteReference w:id="26"/>
      </w:r>
      <w:r w:rsidR="00A352E2" w:rsidRPr="009F3406">
        <w:rPr>
          <w:sz w:val="24"/>
          <w:szCs w:val="24"/>
        </w:rPr>
        <w:t xml:space="preserve"> </w:t>
      </w:r>
      <w:r w:rsidR="00E43B61" w:rsidRPr="009F3406">
        <w:rPr>
          <w:sz w:val="24"/>
          <w:szCs w:val="24"/>
        </w:rPr>
        <w:t xml:space="preserve">These ideas broke down the hierarchy of Church and allowed </w:t>
      </w:r>
      <w:r w:rsidR="00A466FD" w:rsidRPr="009F3406">
        <w:rPr>
          <w:sz w:val="24"/>
          <w:szCs w:val="24"/>
        </w:rPr>
        <w:t>individuality</w:t>
      </w:r>
      <w:r w:rsidR="00C525C7" w:rsidRPr="009F3406">
        <w:rPr>
          <w:sz w:val="24"/>
          <w:szCs w:val="24"/>
        </w:rPr>
        <w:t xml:space="preserve"> to emerge from the </w:t>
      </w:r>
      <w:r w:rsidR="00A466FD" w:rsidRPr="009F3406">
        <w:rPr>
          <w:sz w:val="24"/>
          <w:szCs w:val="24"/>
        </w:rPr>
        <w:t xml:space="preserve">ancient, Papal focused Catholic Church in England. </w:t>
      </w:r>
      <w:r w:rsidR="00F64CB6" w:rsidRPr="009F3406">
        <w:rPr>
          <w:sz w:val="24"/>
          <w:szCs w:val="24"/>
        </w:rPr>
        <w:t>Henry VIII’s Dissolution of the Monasteries in 1536</w:t>
      </w:r>
      <w:r w:rsidR="00225997" w:rsidRPr="009F3406">
        <w:rPr>
          <w:sz w:val="24"/>
          <w:szCs w:val="24"/>
        </w:rPr>
        <w:t xml:space="preserve"> and the inclusion of vernacular Bibles </w:t>
      </w:r>
      <w:r w:rsidR="005769CC" w:rsidRPr="009F3406">
        <w:rPr>
          <w:sz w:val="24"/>
          <w:szCs w:val="24"/>
        </w:rPr>
        <w:t xml:space="preserve">was appealing to those who wished for reform </w:t>
      </w:r>
      <w:r w:rsidR="00BF1AA2" w:rsidRPr="009F3406">
        <w:rPr>
          <w:sz w:val="24"/>
          <w:szCs w:val="24"/>
        </w:rPr>
        <w:t xml:space="preserve">and </w:t>
      </w:r>
      <w:r w:rsidR="00F5201C" w:rsidRPr="009F3406">
        <w:rPr>
          <w:sz w:val="24"/>
          <w:szCs w:val="24"/>
        </w:rPr>
        <w:t xml:space="preserve">the </w:t>
      </w:r>
      <w:r w:rsidR="00BF1AA2" w:rsidRPr="009F3406">
        <w:rPr>
          <w:sz w:val="24"/>
          <w:szCs w:val="24"/>
        </w:rPr>
        <w:t xml:space="preserve">reshaping </w:t>
      </w:r>
      <w:r w:rsidR="00D26B89" w:rsidRPr="009F3406">
        <w:rPr>
          <w:sz w:val="24"/>
          <w:szCs w:val="24"/>
        </w:rPr>
        <w:t xml:space="preserve">of the Church’s structure. </w:t>
      </w:r>
    </w:p>
    <w:p w14:paraId="0CD04EBF" w14:textId="77777777" w:rsidR="00180E18" w:rsidRPr="009F3406" w:rsidRDefault="00180E18" w:rsidP="009755FC">
      <w:pPr>
        <w:spacing w:line="480" w:lineRule="auto"/>
        <w:rPr>
          <w:sz w:val="24"/>
          <w:szCs w:val="24"/>
        </w:rPr>
      </w:pPr>
    </w:p>
    <w:p w14:paraId="48DCCF23" w14:textId="5DABCBEE" w:rsidR="00AA3CAE" w:rsidRDefault="00AA3CAE" w:rsidP="009755FC">
      <w:pPr>
        <w:spacing w:line="480" w:lineRule="auto"/>
        <w:rPr>
          <w:sz w:val="24"/>
          <w:szCs w:val="24"/>
        </w:rPr>
      </w:pPr>
      <w:r w:rsidRPr="009F3406">
        <w:rPr>
          <w:sz w:val="24"/>
          <w:szCs w:val="24"/>
        </w:rPr>
        <w:t>Martin Luther critiqued Tetzel’s phrase ‘As soon as a coin in the coffer rings, the soul from purgatory springs’</w:t>
      </w:r>
      <w:r w:rsidRPr="009F3406">
        <w:rPr>
          <w:rStyle w:val="FootnoteReference"/>
          <w:sz w:val="24"/>
          <w:szCs w:val="24"/>
        </w:rPr>
        <w:footnoteReference w:id="27"/>
      </w:r>
      <w:r w:rsidRPr="009F3406">
        <w:rPr>
          <w:sz w:val="24"/>
          <w:szCs w:val="24"/>
        </w:rPr>
        <w:t xml:space="preserve"> </w:t>
      </w:r>
      <w:r w:rsidR="00A4485D" w:rsidRPr="009F3406">
        <w:rPr>
          <w:sz w:val="24"/>
          <w:szCs w:val="24"/>
        </w:rPr>
        <w:t xml:space="preserve">in his criticism of the indulgences collected by the Church in promise of less time in </w:t>
      </w:r>
      <w:r w:rsidR="00855FA4" w:rsidRPr="009F3406">
        <w:rPr>
          <w:sz w:val="24"/>
          <w:szCs w:val="24"/>
        </w:rPr>
        <w:t>p</w:t>
      </w:r>
      <w:r w:rsidR="00A4485D" w:rsidRPr="009F3406">
        <w:rPr>
          <w:sz w:val="24"/>
          <w:szCs w:val="24"/>
        </w:rPr>
        <w:t>urgatory b</w:t>
      </w:r>
      <w:r w:rsidRPr="009F3406">
        <w:rPr>
          <w:sz w:val="24"/>
          <w:szCs w:val="24"/>
        </w:rPr>
        <w:t>ecause ‘no divine authority’</w:t>
      </w:r>
      <w:r w:rsidRPr="009F3406">
        <w:rPr>
          <w:rStyle w:val="FootnoteReference"/>
          <w:sz w:val="24"/>
          <w:szCs w:val="24"/>
        </w:rPr>
        <w:footnoteReference w:id="28"/>
      </w:r>
      <w:r w:rsidRPr="009F3406">
        <w:rPr>
          <w:sz w:val="24"/>
          <w:szCs w:val="24"/>
        </w:rPr>
        <w:t xml:space="preserve"> contains evidence of that or of Purgatory itself. Which </w:t>
      </w:r>
      <w:r w:rsidR="00742FE2" w:rsidRPr="009F3406">
        <w:rPr>
          <w:sz w:val="24"/>
          <w:szCs w:val="24"/>
        </w:rPr>
        <w:t>are</w:t>
      </w:r>
      <w:r w:rsidRPr="009F3406">
        <w:rPr>
          <w:sz w:val="24"/>
          <w:szCs w:val="24"/>
        </w:rPr>
        <w:t xml:space="preserve"> other issue</w:t>
      </w:r>
      <w:r w:rsidR="00742FE2" w:rsidRPr="009F3406">
        <w:rPr>
          <w:sz w:val="24"/>
          <w:szCs w:val="24"/>
        </w:rPr>
        <w:t>s</w:t>
      </w:r>
      <w:r w:rsidRPr="009F3406">
        <w:rPr>
          <w:sz w:val="24"/>
          <w:szCs w:val="24"/>
        </w:rPr>
        <w:t xml:space="preserve"> reformists had with the established Church and focused on the Bible as the only/the most important source of divine authority</w:t>
      </w:r>
      <w:r w:rsidR="0079365A" w:rsidRPr="009F3406">
        <w:rPr>
          <w:sz w:val="24"/>
          <w:szCs w:val="24"/>
        </w:rPr>
        <w:t xml:space="preserve">, moving away from popery and clergy as a main source of religious authority as the Bible is direct </w:t>
      </w:r>
      <w:r w:rsidR="00005D2E" w:rsidRPr="009F3406">
        <w:rPr>
          <w:sz w:val="24"/>
          <w:szCs w:val="24"/>
        </w:rPr>
        <w:t xml:space="preserve">guidance </w:t>
      </w:r>
      <w:r w:rsidR="0079365A" w:rsidRPr="009F3406">
        <w:rPr>
          <w:sz w:val="24"/>
          <w:szCs w:val="24"/>
        </w:rPr>
        <w:t>from God</w:t>
      </w:r>
      <w:r w:rsidRPr="009F3406">
        <w:rPr>
          <w:sz w:val="24"/>
          <w:szCs w:val="24"/>
        </w:rPr>
        <w:t>.</w:t>
      </w:r>
      <w:r w:rsidR="00BA5B36" w:rsidRPr="009F3406">
        <w:rPr>
          <w:sz w:val="24"/>
          <w:szCs w:val="24"/>
        </w:rPr>
        <w:t xml:space="preserve"> </w:t>
      </w:r>
      <w:r w:rsidR="00221FA0" w:rsidRPr="009F3406">
        <w:rPr>
          <w:sz w:val="24"/>
          <w:szCs w:val="24"/>
        </w:rPr>
        <w:t>The established Church’s S</w:t>
      </w:r>
      <w:r w:rsidR="00D50EAD" w:rsidRPr="009F3406">
        <w:rPr>
          <w:sz w:val="24"/>
          <w:szCs w:val="24"/>
        </w:rPr>
        <w:t>acrament</w:t>
      </w:r>
      <w:r w:rsidR="00221FA0" w:rsidRPr="009F3406">
        <w:rPr>
          <w:sz w:val="24"/>
          <w:szCs w:val="24"/>
        </w:rPr>
        <w:t xml:space="preserve"> of Pena</w:t>
      </w:r>
      <w:r w:rsidR="00D50EAD" w:rsidRPr="009F3406">
        <w:rPr>
          <w:sz w:val="24"/>
          <w:szCs w:val="24"/>
        </w:rPr>
        <w:t>n</w:t>
      </w:r>
      <w:r w:rsidR="00221FA0" w:rsidRPr="009F3406">
        <w:rPr>
          <w:sz w:val="24"/>
          <w:szCs w:val="24"/>
        </w:rPr>
        <w:t xml:space="preserve">ce </w:t>
      </w:r>
      <w:r w:rsidR="006E1F62" w:rsidRPr="009F3406">
        <w:rPr>
          <w:sz w:val="24"/>
          <w:szCs w:val="24"/>
        </w:rPr>
        <w:t xml:space="preserve">could be fulfilled </w:t>
      </w:r>
      <w:r w:rsidR="00A6261F" w:rsidRPr="009F3406">
        <w:rPr>
          <w:sz w:val="24"/>
          <w:szCs w:val="24"/>
        </w:rPr>
        <w:t>by</w:t>
      </w:r>
      <w:r w:rsidR="006E1F62" w:rsidRPr="009F3406">
        <w:rPr>
          <w:sz w:val="24"/>
          <w:szCs w:val="24"/>
        </w:rPr>
        <w:t xml:space="preserve"> confession, </w:t>
      </w:r>
      <w:r w:rsidR="00A6261F" w:rsidRPr="009F3406">
        <w:rPr>
          <w:sz w:val="24"/>
          <w:szCs w:val="24"/>
        </w:rPr>
        <w:t xml:space="preserve">or </w:t>
      </w:r>
      <w:r w:rsidR="006E1F62" w:rsidRPr="009F3406">
        <w:rPr>
          <w:sz w:val="24"/>
          <w:szCs w:val="24"/>
        </w:rPr>
        <w:t>absolution of sins by a priest</w:t>
      </w:r>
      <w:r w:rsidR="006E34BA" w:rsidRPr="009F3406">
        <w:rPr>
          <w:sz w:val="24"/>
          <w:szCs w:val="24"/>
        </w:rPr>
        <w:t xml:space="preserve">, or visiting Holy Relics. This is significant because Luther </w:t>
      </w:r>
      <w:r w:rsidR="00C5303A" w:rsidRPr="009F3406">
        <w:rPr>
          <w:sz w:val="24"/>
          <w:szCs w:val="24"/>
          <w:shd w:val="clear" w:color="auto" w:fill="FFFFFF"/>
        </w:rPr>
        <w:t>‘nailed his 95 Theses against the sale of indulgences to the gates’</w:t>
      </w:r>
      <w:r w:rsidR="00C5303A" w:rsidRPr="009F3406">
        <w:rPr>
          <w:sz w:val="21"/>
          <w:szCs w:val="21"/>
          <w:shd w:val="clear" w:color="auto" w:fill="FFFFFF"/>
        </w:rPr>
        <w:t xml:space="preserve"> </w:t>
      </w:r>
      <w:r w:rsidR="00A6261F" w:rsidRPr="009F3406">
        <w:rPr>
          <w:sz w:val="24"/>
          <w:szCs w:val="24"/>
        </w:rPr>
        <w:t>of Duke Frederick III the Wise’s Wittenberg Castle Church which held 5,005 alleged relics.</w:t>
      </w:r>
      <w:r w:rsidR="00923901" w:rsidRPr="009F3406">
        <w:rPr>
          <w:rStyle w:val="FootnoteReference"/>
          <w:sz w:val="24"/>
          <w:szCs w:val="24"/>
          <w:shd w:val="clear" w:color="auto" w:fill="FFFFFF"/>
        </w:rPr>
        <w:footnoteReference w:id="29"/>
      </w:r>
      <w:r w:rsidR="00923901" w:rsidRPr="009F3406">
        <w:rPr>
          <w:sz w:val="24"/>
          <w:szCs w:val="24"/>
        </w:rPr>
        <w:t xml:space="preserve"> </w:t>
      </w:r>
      <w:r w:rsidR="00F64CB6" w:rsidRPr="009F3406">
        <w:rPr>
          <w:sz w:val="24"/>
          <w:szCs w:val="24"/>
        </w:rPr>
        <w:t>With the increase</w:t>
      </w:r>
      <w:r w:rsidR="00855FA4" w:rsidRPr="009F3406">
        <w:rPr>
          <w:sz w:val="24"/>
          <w:szCs w:val="24"/>
        </w:rPr>
        <w:t>d</w:t>
      </w:r>
      <w:r w:rsidR="00F64CB6" w:rsidRPr="009F3406">
        <w:rPr>
          <w:sz w:val="24"/>
          <w:szCs w:val="24"/>
        </w:rPr>
        <w:t xml:space="preserve"> </w:t>
      </w:r>
      <w:r w:rsidR="0040748B" w:rsidRPr="009F3406">
        <w:rPr>
          <w:sz w:val="24"/>
          <w:szCs w:val="24"/>
        </w:rPr>
        <w:t>use of the</w:t>
      </w:r>
      <w:r w:rsidR="00F64CB6" w:rsidRPr="009F3406">
        <w:rPr>
          <w:sz w:val="24"/>
          <w:szCs w:val="24"/>
        </w:rPr>
        <w:t xml:space="preserve"> </w:t>
      </w:r>
      <w:r w:rsidR="00855FA4" w:rsidRPr="009F3406">
        <w:rPr>
          <w:sz w:val="24"/>
          <w:szCs w:val="24"/>
        </w:rPr>
        <w:t>p</w:t>
      </w:r>
      <w:r w:rsidR="00F64CB6" w:rsidRPr="009F3406">
        <w:rPr>
          <w:sz w:val="24"/>
          <w:szCs w:val="24"/>
        </w:rPr>
        <w:t xml:space="preserve">rinting </w:t>
      </w:r>
      <w:r w:rsidR="00855FA4" w:rsidRPr="009F3406">
        <w:rPr>
          <w:sz w:val="24"/>
          <w:szCs w:val="24"/>
        </w:rPr>
        <w:t>p</w:t>
      </w:r>
      <w:r w:rsidR="00F64CB6" w:rsidRPr="009F3406">
        <w:rPr>
          <w:sz w:val="24"/>
          <w:szCs w:val="24"/>
        </w:rPr>
        <w:t>ress</w:t>
      </w:r>
      <w:r w:rsidR="0040748B" w:rsidRPr="009F3406">
        <w:rPr>
          <w:sz w:val="24"/>
          <w:szCs w:val="24"/>
        </w:rPr>
        <w:t xml:space="preserve"> </w:t>
      </w:r>
      <w:r w:rsidR="00281BA5" w:rsidRPr="009F3406">
        <w:rPr>
          <w:sz w:val="24"/>
          <w:szCs w:val="24"/>
        </w:rPr>
        <w:t xml:space="preserve">new ideas </w:t>
      </w:r>
      <w:r w:rsidR="0040748B" w:rsidRPr="009F3406">
        <w:rPr>
          <w:sz w:val="24"/>
          <w:szCs w:val="24"/>
        </w:rPr>
        <w:t xml:space="preserve">could </w:t>
      </w:r>
      <w:r w:rsidR="00281BA5" w:rsidRPr="009F3406">
        <w:rPr>
          <w:sz w:val="24"/>
          <w:szCs w:val="24"/>
        </w:rPr>
        <w:t>s</w:t>
      </w:r>
      <w:r w:rsidR="00E93718" w:rsidRPr="009F3406">
        <w:rPr>
          <w:sz w:val="24"/>
          <w:szCs w:val="24"/>
        </w:rPr>
        <w:t xml:space="preserve">pread </w:t>
      </w:r>
      <w:r w:rsidR="00A74719" w:rsidRPr="009F3406">
        <w:rPr>
          <w:sz w:val="24"/>
          <w:szCs w:val="24"/>
        </w:rPr>
        <w:t xml:space="preserve">rapidly with </w:t>
      </w:r>
      <w:r w:rsidR="0040748B" w:rsidRPr="009F3406">
        <w:rPr>
          <w:sz w:val="24"/>
          <w:szCs w:val="24"/>
        </w:rPr>
        <w:t>Reformation</w:t>
      </w:r>
      <w:r w:rsidR="00A74719" w:rsidRPr="009F3406">
        <w:rPr>
          <w:sz w:val="24"/>
          <w:szCs w:val="24"/>
        </w:rPr>
        <w:t xml:space="preserve"> </w:t>
      </w:r>
      <w:r w:rsidR="005D7E6C" w:rsidRPr="009F3406">
        <w:rPr>
          <w:sz w:val="24"/>
          <w:szCs w:val="24"/>
        </w:rPr>
        <w:t>‘pamphlets and sermons</w:t>
      </w:r>
      <w:r w:rsidR="0048064A" w:rsidRPr="009F3406">
        <w:rPr>
          <w:sz w:val="24"/>
          <w:szCs w:val="24"/>
        </w:rPr>
        <w:t>…</w:t>
      </w:r>
      <w:r w:rsidR="002E5B6E" w:rsidRPr="009F3406">
        <w:rPr>
          <w:sz w:val="24"/>
          <w:szCs w:val="24"/>
        </w:rPr>
        <w:t xml:space="preserve"> </w:t>
      </w:r>
      <w:r w:rsidR="0048064A" w:rsidRPr="009F3406">
        <w:rPr>
          <w:sz w:val="24"/>
          <w:szCs w:val="24"/>
        </w:rPr>
        <w:t xml:space="preserve">designed to be read to the illiterate as well as by the literate’, this inclusion and diversity may have appealed to the people of the time </w:t>
      </w:r>
      <w:r w:rsidR="00E2214C" w:rsidRPr="009F3406">
        <w:rPr>
          <w:sz w:val="24"/>
          <w:szCs w:val="24"/>
        </w:rPr>
        <w:t>as this information was accessible</w:t>
      </w:r>
      <w:r w:rsidR="00B61BF1" w:rsidRPr="009F3406">
        <w:rPr>
          <w:sz w:val="24"/>
          <w:szCs w:val="24"/>
        </w:rPr>
        <w:t xml:space="preserve"> u</w:t>
      </w:r>
      <w:r w:rsidR="006E2372" w:rsidRPr="009F3406">
        <w:rPr>
          <w:sz w:val="24"/>
          <w:szCs w:val="24"/>
        </w:rPr>
        <w:t>nlike the exclusivity of the Bible, worship</w:t>
      </w:r>
      <w:r w:rsidR="00B61BF1" w:rsidRPr="009F3406">
        <w:rPr>
          <w:sz w:val="24"/>
          <w:szCs w:val="24"/>
        </w:rPr>
        <w:t>,</w:t>
      </w:r>
      <w:r w:rsidR="006E2372" w:rsidRPr="009F3406">
        <w:rPr>
          <w:sz w:val="24"/>
          <w:szCs w:val="24"/>
        </w:rPr>
        <w:t xml:space="preserve"> and </w:t>
      </w:r>
      <w:r w:rsidR="00B61BF1" w:rsidRPr="009F3406">
        <w:rPr>
          <w:sz w:val="24"/>
          <w:szCs w:val="24"/>
        </w:rPr>
        <w:t>connection with God.</w:t>
      </w:r>
      <w:r w:rsidR="00B61BF1" w:rsidRPr="009F3406">
        <w:rPr>
          <w:rStyle w:val="FootnoteReference"/>
          <w:sz w:val="24"/>
          <w:szCs w:val="24"/>
        </w:rPr>
        <w:footnoteReference w:id="30"/>
      </w:r>
      <w:r w:rsidR="00862C64" w:rsidRPr="009F3406">
        <w:rPr>
          <w:sz w:val="24"/>
          <w:szCs w:val="24"/>
        </w:rPr>
        <w:t xml:space="preserve"> Along with i</w:t>
      </w:r>
      <w:r w:rsidR="00E05115" w:rsidRPr="009F3406">
        <w:rPr>
          <w:sz w:val="24"/>
          <w:szCs w:val="24"/>
        </w:rPr>
        <w:t xml:space="preserve">ncrease in </w:t>
      </w:r>
      <w:r w:rsidR="00EF79B1" w:rsidRPr="009F3406">
        <w:rPr>
          <w:sz w:val="24"/>
          <w:szCs w:val="24"/>
        </w:rPr>
        <w:t xml:space="preserve">European </w:t>
      </w:r>
      <w:r w:rsidR="00502D98" w:rsidRPr="009F3406">
        <w:rPr>
          <w:sz w:val="24"/>
          <w:szCs w:val="24"/>
        </w:rPr>
        <w:t xml:space="preserve">Universities </w:t>
      </w:r>
      <w:r w:rsidR="00EF79B1" w:rsidRPr="009F3406">
        <w:rPr>
          <w:sz w:val="24"/>
          <w:szCs w:val="24"/>
        </w:rPr>
        <w:t>‘from 20 to 70’</w:t>
      </w:r>
      <w:r w:rsidR="00855FA4" w:rsidRPr="009F3406">
        <w:rPr>
          <w:sz w:val="24"/>
          <w:szCs w:val="24"/>
        </w:rPr>
        <w:t>,</w:t>
      </w:r>
      <w:r w:rsidR="00EF79B1" w:rsidRPr="009F3406">
        <w:rPr>
          <w:sz w:val="24"/>
          <w:szCs w:val="24"/>
        </w:rPr>
        <w:t xml:space="preserve"> </w:t>
      </w:r>
      <w:r w:rsidR="00C21DE7" w:rsidRPr="009F3406">
        <w:rPr>
          <w:sz w:val="24"/>
          <w:szCs w:val="24"/>
        </w:rPr>
        <w:t xml:space="preserve">exposed students to </w:t>
      </w:r>
      <w:r w:rsidR="00A84C53" w:rsidRPr="009F3406">
        <w:rPr>
          <w:sz w:val="24"/>
          <w:szCs w:val="24"/>
        </w:rPr>
        <w:t xml:space="preserve">new traditions and ideas </w:t>
      </w:r>
      <w:r w:rsidR="00661A31" w:rsidRPr="009F3406">
        <w:rPr>
          <w:sz w:val="24"/>
          <w:szCs w:val="24"/>
        </w:rPr>
        <w:lastRenderedPageBreak/>
        <w:t xml:space="preserve">increasing </w:t>
      </w:r>
      <w:r w:rsidR="004B3B4E" w:rsidRPr="009F3406">
        <w:rPr>
          <w:sz w:val="24"/>
          <w:szCs w:val="24"/>
        </w:rPr>
        <w:t xml:space="preserve">opposition to the established Church, these new ideas were easily published with the </w:t>
      </w:r>
      <w:r w:rsidR="00855FA4" w:rsidRPr="009F3406">
        <w:rPr>
          <w:sz w:val="24"/>
          <w:szCs w:val="24"/>
        </w:rPr>
        <w:t>p</w:t>
      </w:r>
      <w:r w:rsidR="004B3B4E" w:rsidRPr="009F3406">
        <w:rPr>
          <w:sz w:val="24"/>
          <w:szCs w:val="24"/>
        </w:rPr>
        <w:t xml:space="preserve">rinting </w:t>
      </w:r>
      <w:r w:rsidR="00855FA4" w:rsidRPr="009F3406">
        <w:rPr>
          <w:sz w:val="24"/>
          <w:szCs w:val="24"/>
        </w:rPr>
        <w:t>p</w:t>
      </w:r>
      <w:r w:rsidR="004B3B4E" w:rsidRPr="009F3406">
        <w:rPr>
          <w:sz w:val="24"/>
          <w:szCs w:val="24"/>
        </w:rPr>
        <w:t xml:space="preserve">ress </w:t>
      </w:r>
      <w:r w:rsidR="002A0BED" w:rsidRPr="009F3406">
        <w:rPr>
          <w:sz w:val="24"/>
          <w:szCs w:val="24"/>
        </w:rPr>
        <w:t xml:space="preserve">since the 1440s allowing </w:t>
      </w:r>
      <w:r w:rsidR="00F64CB6" w:rsidRPr="009F3406">
        <w:rPr>
          <w:sz w:val="24"/>
          <w:szCs w:val="24"/>
        </w:rPr>
        <w:t xml:space="preserve">‘Luther’s ideas </w:t>
      </w:r>
      <w:r w:rsidR="002A0BED" w:rsidRPr="009F3406">
        <w:rPr>
          <w:sz w:val="24"/>
          <w:szCs w:val="24"/>
        </w:rPr>
        <w:t>[to blanket]</w:t>
      </w:r>
      <w:r w:rsidR="00F64CB6" w:rsidRPr="009F3406">
        <w:rPr>
          <w:sz w:val="24"/>
          <w:szCs w:val="24"/>
        </w:rPr>
        <w:t xml:space="preserve"> Europe within months.’</w:t>
      </w:r>
      <w:r w:rsidR="006E2F5A" w:rsidRPr="009F3406">
        <w:rPr>
          <w:rStyle w:val="FootnoteReference"/>
          <w:sz w:val="24"/>
          <w:szCs w:val="24"/>
        </w:rPr>
        <w:footnoteReference w:id="31"/>
      </w:r>
      <w:r w:rsidR="002A7F69">
        <w:rPr>
          <w:sz w:val="24"/>
          <w:szCs w:val="24"/>
        </w:rPr>
        <w:t xml:space="preserve"> </w:t>
      </w:r>
    </w:p>
    <w:p w14:paraId="72B0BFC8" w14:textId="77777777" w:rsidR="00776872" w:rsidRDefault="00776872" w:rsidP="009755FC">
      <w:pPr>
        <w:spacing w:line="480" w:lineRule="auto"/>
        <w:rPr>
          <w:sz w:val="24"/>
          <w:szCs w:val="24"/>
        </w:rPr>
      </w:pPr>
    </w:p>
    <w:p w14:paraId="64E17E90" w14:textId="53E52E30" w:rsidR="00776872" w:rsidRDefault="00776872" w:rsidP="009755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Papal authority overran </w:t>
      </w:r>
      <w:r w:rsidR="002960EE">
        <w:rPr>
          <w:sz w:val="24"/>
          <w:szCs w:val="24"/>
        </w:rPr>
        <w:t xml:space="preserve">Medieval </w:t>
      </w:r>
      <w:r>
        <w:rPr>
          <w:sz w:val="24"/>
          <w:szCs w:val="24"/>
        </w:rPr>
        <w:t xml:space="preserve">worship </w:t>
      </w:r>
      <w:r w:rsidR="00B025EA">
        <w:rPr>
          <w:sz w:val="24"/>
          <w:szCs w:val="24"/>
        </w:rPr>
        <w:t>with Gregorian chant</w:t>
      </w:r>
      <w:r w:rsidR="00716A31">
        <w:rPr>
          <w:sz w:val="24"/>
          <w:szCs w:val="24"/>
        </w:rPr>
        <w:t>ing</w:t>
      </w:r>
      <w:r w:rsidR="00B025EA">
        <w:rPr>
          <w:sz w:val="24"/>
          <w:szCs w:val="24"/>
        </w:rPr>
        <w:t xml:space="preserve"> performed by the monks, and all services in Latin created a distance between God and the congregations. </w:t>
      </w:r>
      <w:r w:rsidR="00EB4B58">
        <w:rPr>
          <w:sz w:val="24"/>
          <w:szCs w:val="24"/>
        </w:rPr>
        <w:t xml:space="preserve">The vicars were the “ear to God” in order for the congregation </w:t>
      </w:r>
      <w:r w:rsidR="00FF60BF">
        <w:rPr>
          <w:sz w:val="24"/>
          <w:szCs w:val="24"/>
        </w:rPr>
        <w:t>to connect with God</w:t>
      </w:r>
      <w:r w:rsidR="00436251">
        <w:rPr>
          <w:sz w:val="24"/>
          <w:szCs w:val="24"/>
        </w:rPr>
        <w:t xml:space="preserve"> they had to </w:t>
      </w:r>
      <w:r w:rsidR="00FF60BF">
        <w:rPr>
          <w:sz w:val="24"/>
          <w:szCs w:val="24"/>
        </w:rPr>
        <w:t>use clergymen to communicate with</w:t>
      </w:r>
      <w:r w:rsidR="00716A31">
        <w:rPr>
          <w:sz w:val="24"/>
          <w:szCs w:val="24"/>
        </w:rPr>
        <w:t xml:space="preserve"> him</w:t>
      </w:r>
      <w:r w:rsidR="00FF60BF">
        <w:rPr>
          <w:sz w:val="24"/>
          <w:szCs w:val="24"/>
        </w:rPr>
        <w:t>,</w:t>
      </w:r>
      <w:r w:rsidR="00835D5E">
        <w:rPr>
          <w:sz w:val="24"/>
          <w:szCs w:val="24"/>
        </w:rPr>
        <w:t xml:space="preserve"> creating a spiritual division. </w:t>
      </w:r>
      <w:r w:rsidR="00DF26F2">
        <w:rPr>
          <w:sz w:val="24"/>
          <w:szCs w:val="24"/>
        </w:rPr>
        <w:t xml:space="preserve">This separation spiritually was </w:t>
      </w:r>
      <w:r w:rsidR="00533721">
        <w:rPr>
          <w:sz w:val="24"/>
          <w:szCs w:val="24"/>
        </w:rPr>
        <w:t xml:space="preserve">also </w:t>
      </w:r>
      <w:r w:rsidR="00DF26F2">
        <w:rPr>
          <w:sz w:val="24"/>
          <w:szCs w:val="24"/>
        </w:rPr>
        <w:t>present physically</w:t>
      </w:r>
      <w:r w:rsidR="00FF60BF">
        <w:rPr>
          <w:sz w:val="24"/>
          <w:szCs w:val="24"/>
        </w:rPr>
        <w:t xml:space="preserve"> within the established Churches</w:t>
      </w:r>
      <w:r w:rsidR="00DF26F2">
        <w:rPr>
          <w:sz w:val="24"/>
          <w:szCs w:val="24"/>
        </w:rPr>
        <w:t xml:space="preserve"> by </w:t>
      </w:r>
      <w:r w:rsidR="002C6E4C">
        <w:rPr>
          <w:sz w:val="24"/>
          <w:szCs w:val="24"/>
        </w:rPr>
        <w:t>a</w:t>
      </w:r>
      <w:r w:rsidR="00DF26F2">
        <w:rPr>
          <w:sz w:val="24"/>
          <w:szCs w:val="24"/>
        </w:rPr>
        <w:t xml:space="preserve"> Rood screen </w:t>
      </w:r>
      <w:r w:rsidR="00FF60BF">
        <w:rPr>
          <w:sz w:val="24"/>
          <w:szCs w:val="24"/>
        </w:rPr>
        <w:t xml:space="preserve">dividing </w:t>
      </w:r>
      <w:r w:rsidR="00DF26F2">
        <w:rPr>
          <w:sz w:val="24"/>
          <w:szCs w:val="24"/>
        </w:rPr>
        <w:t xml:space="preserve">the altar and vicar, from the rest of the Church attendants. </w:t>
      </w:r>
      <w:r w:rsidR="00BA4C42">
        <w:rPr>
          <w:sz w:val="24"/>
          <w:szCs w:val="24"/>
        </w:rPr>
        <w:t xml:space="preserve">The Eucharist </w:t>
      </w:r>
      <w:r w:rsidR="000C7F22">
        <w:rPr>
          <w:sz w:val="24"/>
          <w:szCs w:val="24"/>
        </w:rPr>
        <w:t>was us</w:t>
      </w:r>
      <w:r w:rsidR="000C7F22" w:rsidRPr="009F3406">
        <w:rPr>
          <w:sz w:val="24"/>
          <w:szCs w:val="24"/>
        </w:rPr>
        <w:t>ed to ‘endorse existing community power structures</w:t>
      </w:r>
      <w:r w:rsidR="00756FE4" w:rsidRPr="009F3406">
        <w:rPr>
          <w:sz w:val="24"/>
          <w:szCs w:val="24"/>
        </w:rPr>
        <w:t xml:space="preserve">… saturated </w:t>
      </w:r>
      <w:r w:rsidR="000B26E6" w:rsidRPr="009F3406">
        <w:rPr>
          <w:sz w:val="24"/>
          <w:szCs w:val="24"/>
        </w:rPr>
        <w:t>with communitarian and corporate imagery.’</w:t>
      </w:r>
      <w:r w:rsidR="00856E39" w:rsidRPr="009F3406">
        <w:rPr>
          <w:rStyle w:val="FootnoteReference"/>
          <w:sz w:val="24"/>
          <w:szCs w:val="24"/>
        </w:rPr>
        <w:footnoteReference w:id="32"/>
      </w:r>
      <w:r w:rsidR="00716A31" w:rsidRPr="009F3406">
        <w:rPr>
          <w:sz w:val="24"/>
          <w:szCs w:val="24"/>
        </w:rPr>
        <w:t xml:space="preserve"> This</w:t>
      </w:r>
      <w:r w:rsidR="00716A31">
        <w:rPr>
          <w:sz w:val="24"/>
          <w:szCs w:val="24"/>
        </w:rPr>
        <w:t xml:space="preserve"> lacking individuality </w:t>
      </w:r>
      <w:r w:rsidR="00ED3897">
        <w:rPr>
          <w:sz w:val="24"/>
          <w:szCs w:val="24"/>
        </w:rPr>
        <w:t>and lack of connect</w:t>
      </w:r>
      <w:r w:rsidR="00855FA4">
        <w:rPr>
          <w:sz w:val="24"/>
          <w:szCs w:val="24"/>
        </w:rPr>
        <w:t>ion</w:t>
      </w:r>
      <w:r w:rsidR="00ED3897">
        <w:rPr>
          <w:sz w:val="24"/>
          <w:szCs w:val="24"/>
        </w:rPr>
        <w:t xml:space="preserve"> with God </w:t>
      </w:r>
      <w:r w:rsidR="00716A31">
        <w:rPr>
          <w:sz w:val="24"/>
          <w:szCs w:val="24"/>
        </w:rPr>
        <w:t xml:space="preserve">within Christianity became under attack by reformists </w:t>
      </w:r>
      <w:r w:rsidR="00CF62D3">
        <w:rPr>
          <w:sz w:val="24"/>
          <w:szCs w:val="24"/>
        </w:rPr>
        <w:t xml:space="preserve">due to the controlling nature of the Pope and Clergymen </w:t>
      </w:r>
      <w:r w:rsidR="00CB5B28">
        <w:rPr>
          <w:sz w:val="24"/>
          <w:szCs w:val="24"/>
        </w:rPr>
        <w:t xml:space="preserve">over services and societal expectations, with the </w:t>
      </w:r>
      <w:r w:rsidR="005D6F8C">
        <w:rPr>
          <w:sz w:val="24"/>
          <w:szCs w:val="24"/>
        </w:rPr>
        <w:t xml:space="preserve">regular and holiday worship alongside the other seven sacraments. </w:t>
      </w:r>
      <w:r w:rsidR="00843441">
        <w:rPr>
          <w:sz w:val="24"/>
          <w:szCs w:val="24"/>
        </w:rPr>
        <w:t xml:space="preserve">Eucharist </w:t>
      </w:r>
      <w:r w:rsidR="00EE47F2">
        <w:rPr>
          <w:sz w:val="24"/>
          <w:szCs w:val="24"/>
        </w:rPr>
        <w:t xml:space="preserve">in the established Church </w:t>
      </w:r>
      <w:r w:rsidR="006D508B">
        <w:rPr>
          <w:sz w:val="24"/>
          <w:szCs w:val="24"/>
        </w:rPr>
        <w:t xml:space="preserve">focused on the transubstantiation and the literal, physical presence of Jesus Christ </w:t>
      </w:r>
      <w:r w:rsidR="009F7792">
        <w:rPr>
          <w:sz w:val="24"/>
          <w:szCs w:val="24"/>
        </w:rPr>
        <w:t xml:space="preserve">while some later Protestant sects of Christianity </w:t>
      </w:r>
      <w:r w:rsidR="00DE291F">
        <w:rPr>
          <w:sz w:val="24"/>
          <w:szCs w:val="24"/>
        </w:rPr>
        <w:t xml:space="preserve">such as </w:t>
      </w:r>
      <w:r w:rsidR="00851154">
        <w:rPr>
          <w:sz w:val="24"/>
          <w:szCs w:val="24"/>
        </w:rPr>
        <w:t>Calvinism</w:t>
      </w:r>
      <w:r w:rsidR="00DE291F">
        <w:rPr>
          <w:sz w:val="24"/>
          <w:szCs w:val="24"/>
        </w:rPr>
        <w:t xml:space="preserve"> and Zwinglianism communion had Christ’s spiritually present. </w:t>
      </w:r>
      <w:r w:rsidR="00427776">
        <w:rPr>
          <w:sz w:val="24"/>
          <w:szCs w:val="24"/>
        </w:rPr>
        <w:t>Protestant churches adopted two of the seven Catholic sacraments: Baptism and Eucharist</w:t>
      </w:r>
      <w:r w:rsidR="00851154">
        <w:rPr>
          <w:sz w:val="24"/>
          <w:szCs w:val="24"/>
        </w:rPr>
        <w:t xml:space="preserve">, this reform </w:t>
      </w:r>
      <w:r w:rsidR="001331E7">
        <w:rPr>
          <w:sz w:val="24"/>
          <w:szCs w:val="24"/>
        </w:rPr>
        <w:t>of sacraments created a freedom within everyday li</w:t>
      </w:r>
      <w:r w:rsidR="009F3406">
        <w:rPr>
          <w:sz w:val="24"/>
          <w:szCs w:val="24"/>
        </w:rPr>
        <w:t>f</w:t>
      </w:r>
      <w:r w:rsidR="001331E7">
        <w:rPr>
          <w:sz w:val="24"/>
          <w:szCs w:val="24"/>
        </w:rPr>
        <w:t xml:space="preserve">e as the established Church controlled </w:t>
      </w:r>
      <w:r w:rsidR="009F4206">
        <w:rPr>
          <w:sz w:val="24"/>
          <w:szCs w:val="24"/>
        </w:rPr>
        <w:t xml:space="preserve">both religious and social aspects of society. </w:t>
      </w:r>
      <w:r w:rsidR="00710DF7">
        <w:rPr>
          <w:sz w:val="24"/>
          <w:szCs w:val="24"/>
        </w:rPr>
        <w:t xml:space="preserve">Another difference </w:t>
      </w:r>
      <w:r w:rsidR="003B7D25">
        <w:rPr>
          <w:sz w:val="24"/>
          <w:szCs w:val="24"/>
        </w:rPr>
        <w:t>between the established Roman Catholic and Protestant Church was the design and embellishment, linking to Luther’s critique of the collecting of indulgences formed a modest Church</w:t>
      </w:r>
      <w:r w:rsidR="00061231">
        <w:rPr>
          <w:sz w:val="24"/>
          <w:szCs w:val="24"/>
        </w:rPr>
        <w:t xml:space="preserve"> </w:t>
      </w:r>
      <w:r w:rsidR="00761BCB">
        <w:rPr>
          <w:sz w:val="24"/>
          <w:szCs w:val="24"/>
        </w:rPr>
        <w:t>after King Henry VIII’s dissolution of the monasteries, form</w:t>
      </w:r>
      <w:r w:rsidR="00CA1BFD">
        <w:rPr>
          <w:sz w:val="24"/>
          <w:szCs w:val="24"/>
        </w:rPr>
        <w:t>ing</w:t>
      </w:r>
      <w:r w:rsidR="00761BCB">
        <w:rPr>
          <w:sz w:val="24"/>
          <w:szCs w:val="24"/>
        </w:rPr>
        <w:t xml:space="preserve"> </w:t>
      </w:r>
      <w:r w:rsidR="00CA1BFD">
        <w:rPr>
          <w:sz w:val="24"/>
          <w:szCs w:val="24"/>
        </w:rPr>
        <w:t>an</w:t>
      </w:r>
      <w:r w:rsidR="00761BCB">
        <w:rPr>
          <w:sz w:val="24"/>
          <w:szCs w:val="24"/>
        </w:rPr>
        <w:t xml:space="preserve"> intimate </w:t>
      </w:r>
      <w:r w:rsidR="00CA1BFD">
        <w:rPr>
          <w:sz w:val="24"/>
          <w:szCs w:val="24"/>
        </w:rPr>
        <w:t>Church and connection to God without paying for their salvation</w:t>
      </w:r>
      <w:r w:rsidR="005E367F">
        <w:rPr>
          <w:sz w:val="24"/>
          <w:szCs w:val="24"/>
        </w:rPr>
        <w:t>.</w:t>
      </w:r>
    </w:p>
    <w:p w14:paraId="1A784F11" w14:textId="77777777" w:rsidR="00EA3DA3" w:rsidRDefault="00EA3DA3" w:rsidP="009755FC">
      <w:pPr>
        <w:spacing w:line="480" w:lineRule="auto"/>
        <w:rPr>
          <w:sz w:val="24"/>
          <w:szCs w:val="24"/>
        </w:rPr>
      </w:pPr>
    </w:p>
    <w:p w14:paraId="5753F97E" w14:textId="75D57E34" w:rsidR="00E05122" w:rsidRDefault="00FD6833" w:rsidP="009755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 conclusion, some people wanted to reform from the established Church because of its corrupt power and adm</w:t>
      </w:r>
      <w:r w:rsidR="007015BD">
        <w:rPr>
          <w:sz w:val="24"/>
          <w:szCs w:val="24"/>
        </w:rPr>
        <w:t>in</w:t>
      </w:r>
      <w:r>
        <w:rPr>
          <w:sz w:val="24"/>
          <w:szCs w:val="24"/>
        </w:rPr>
        <w:t xml:space="preserve">istration, </w:t>
      </w:r>
      <w:r w:rsidR="00FB55AD">
        <w:rPr>
          <w:sz w:val="24"/>
          <w:szCs w:val="24"/>
        </w:rPr>
        <w:t xml:space="preserve">lack of individuality within worship and no personal relationship with God. </w:t>
      </w:r>
      <w:r w:rsidR="00807D7A">
        <w:rPr>
          <w:sz w:val="24"/>
          <w:szCs w:val="24"/>
        </w:rPr>
        <w:t xml:space="preserve">Alongside </w:t>
      </w:r>
      <w:r w:rsidR="00807D7A">
        <w:rPr>
          <w:sz w:val="24"/>
          <w:szCs w:val="24"/>
        </w:rPr>
        <w:lastRenderedPageBreak/>
        <w:t>theological and social disagreements on divorce</w:t>
      </w:r>
      <w:r w:rsidR="00E41B96">
        <w:rPr>
          <w:sz w:val="24"/>
          <w:szCs w:val="24"/>
        </w:rPr>
        <w:t xml:space="preserve"> being a catalyst to the Break from Rome by King Henry VIII Tudor </w:t>
      </w:r>
      <w:r w:rsidR="00A010D9">
        <w:rPr>
          <w:sz w:val="24"/>
          <w:szCs w:val="24"/>
        </w:rPr>
        <w:t xml:space="preserve">in 1540. </w:t>
      </w:r>
    </w:p>
    <w:p w14:paraId="79386ACB" w14:textId="77777777" w:rsidR="004B2D81" w:rsidRDefault="004B2D81" w:rsidP="009755FC">
      <w:pPr>
        <w:spacing w:line="480" w:lineRule="auto"/>
        <w:rPr>
          <w:sz w:val="24"/>
          <w:szCs w:val="24"/>
        </w:rPr>
      </w:pPr>
    </w:p>
    <w:p w14:paraId="31664D4E" w14:textId="77777777" w:rsidR="009F3406" w:rsidRPr="001F36B7" w:rsidRDefault="009F3406" w:rsidP="009755FC">
      <w:pPr>
        <w:spacing w:line="480" w:lineRule="auto"/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238911657"/>
        <w:docPartObj>
          <w:docPartGallery w:val="Bibliographies"/>
          <w:docPartUnique/>
        </w:docPartObj>
      </w:sdtPr>
      <w:sdtEndPr/>
      <w:sdtContent>
        <w:p w14:paraId="45A4384A" w14:textId="7FC6C273" w:rsidR="00E05122" w:rsidRPr="009F3406" w:rsidRDefault="00E05122">
          <w:pPr>
            <w:pStyle w:val="Heading1"/>
          </w:pPr>
          <w:r w:rsidRPr="009F3406">
            <w:t>Bibliography</w:t>
          </w:r>
        </w:p>
        <w:sdt>
          <w:sdtPr>
            <w:id w:val="-1776555446"/>
            <w:bibliography/>
          </w:sdtPr>
          <w:sdtEndPr/>
          <w:sdtContent>
            <w:p w14:paraId="784B8235" w14:textId="5A9E52CB" w:rsidR="00E05122" w:rsidRPr="009F3406" w:rsidRDefault="00E05122" w:rsidP="00005D2E">
              <w:pPr>
                <w:pStyle w:val="ListParagraph"/>
                <w:numPr>
                  <w:ilvl w:val="0"/>
                  <w:numId w:val="9"/>
                </w:numPr>
                <w:rPr>
                  <w:rFonts w:cstheme="minorHAnsi"/>
                  <w:color w:val="000000"/>
                  <w:sz w:val="24"/>
                  <w:szCs w:val="24"/>
                  <w:shd w:val="clear" w:color="auto" w:fill="FFFFFF"/>
                </w:rPr>
              </w:pPr>
              <w:r w:rsidRPr="009F3406">
                <w:rPr>
                  <w:rFonts w:cstheme="minorHAnsi"/>
                  <w:color w:val="000000"/>
                  <w:sz w:val="24"/>
                  <w:szCs w:val="24"/>
                  <w:shd w:val="clear" w:color="auto" w:fill="FFFFFF"/>
                </w:rPr>
                <w:t>Duffy, Eamon. The stripping of the altars: traditional religion in England, c.1400-c.1580. London: Yale University Press</w:t>
              </w:r>
              <w:r w:rsidR="00181A84" w:rsidRPr="009F3406">
                <w:rPr>
                  <w:rFonts w:cstheme="minorHAnsi"/>
                  <w:color w:val="000000"/>
                  <w:sz w:val="24"/>
                  <w:szCs w:val="24"/>
                  <w:shd w:val="clear" w:color="auto" w:fill="FFFFFF"/>
                </w:rPr>
                <w:t xml:space="preserve"> (2005)</w:t>
              </w:r>
              <w:r w:rsidRPr="009F3406">
                <w:rPr>
                  <w:rFonts w:cstheme="minorHAnsi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</w:p>
            <w:p w14:paraId="03CF1163" w14:textId="14D2F958" w:rsidR="00E05122" w:rsidRPr="009F3406" w:rsidRDefault="00E05122" w:rsidP="00005D2E">
              <w:pPr>
                <w:pStyle w:val="ListParagraph"/>
                <w:numPr>
                  <w:ilvl w:val="0"/>
                  <w:numId w:val="9"/>
                </w:numPr>
                <w:rPr>
                  <w:rFonts w:cstheme="minorHAnsi"/>
                  <w:color w:val="000000"/>
                  <w:sz w:val="24"/>
                  <w:szCs w:val="24"/>
                  <w:shd w:val="clear" w:color="auto" w:fill="FFFFFF"/>
                </w:rPr>
              </w:pPr>
              <w:r w:rsidRPr="009F3406">
                <w:rPr>
                  <w:rFonts w:cstheme="minorHAnsi"/>
                  <w:color w:val="000000"/>
                  <w:sz w:val="24"/>
                  <w:szCs w:val="24"/>
                  <w:shd w:val="clear" w:color="auto" w:fill="FFFFFF"/>
                </w:rPr>
                <w:t xml:space="preserve">Duffy, Eamon. Reformation divided: Catholics, </w:t>
              </w:r>
              <w:proofErr w:type="gramStart"/>
              <w:r w:rsidRPr="009F3406">
                <w:rPr>
                  <w:rFonts w:cstheme="minorHAnsi"/>
                  <w:color w:val="000000"/>
                  <w:sz w:val="24"/>
                  <w:szCs w:val="24"/>
                  <w:shd w:val="clear" w:color="auto" w:fill="FFFFFF"/>
                </w:rPr>
                <w:t>Protestants</w:t>
              </w:r>
              <w:proofErr w:type="gramEnd"/>
              <w:r w:rsidRPr="009F3406">
                <w:rPr>
                  <w:rFonts w:cstheme="minorHAnsi"/>
                  <w:color w:val="000000"/>
                  <w:sz w:val="24"/>
                  <w:szCs w:val="24"/>
                  <w:shd w:val="clear" w:color="auto" w:fill="FFFFFF"/>
                </w:rPr>
                <w:t xml:space="preserve"> and the conversion of England. London: Bloomsbury Publishing Plc</w:t>
              </w:r>
              <w:r w:rsidR="0045741D" w:rsidRPr="009F3406">
                <w:rPr>
                  <w:rFonts w:cstheme="minorHAnsi"/>
                  <w:color w:val="000000"/>
                  <w:sz w:val="24"/>
                  <w:szCs w:val="24"/>
                  <w:shd w:val="clear" w:color="auto" w:fill="FFFFFF"/>
                </w:rPr>
                <w:t>. (</w:t>
              </w:r>
              <w:r w:rsidRPr="009F3406">
                <w:rPr>
                  <w:rFonts w:cstheme="minorHAnsi"/>
                  <w:color w:val="000000"/>
                  <w:sz w:val="24"/>
                  <w:szCs w:val="24"/>
                  <w:shd w:val="clear" w:color="auto" w:fill="FFFFFF"/>
                </w:rPr>
                <w:t>2017</w:t>
              </w:r>
              <w:r w:rsidR="0045741D" w:rsidRPr="009F3406">
                <w:rPr>
                  <w:rFonts w:cstheme="minorHAnsi"/>
                  <w:color w:val="000000"/>
                  <w:sz w:val="24"/>
                  <w:szCs w:val="24"/>
                  <w:shd w:val="clear" w:color="auto" w:fill="FFFFFF"/>
                </w:rPr>
                <w:t>)</w:t>
              </w:r>
            </w:p>
            <w:p w14:paraId="39DAA642" w14:textId="77777777" w:rsidR="00E05122" w:rsidRPr="009F3406" w:rsidRDefault="00E05122" w:rsidP="00005D2E">
              <w:pPr>
                <w:pStyle w:val="ListParagraph"/>
                <w:numPr>
                  <w:ilvl w:val="0"/>
                  <w:numId w:val="9"/>
                </w:numPr>
                <w:rPr>
                  <w:sz w:val="24"/>
                  <w:szCs w:val="24"/>
                </w:rPr>
              </w:pPr>
              <w:r w:rsidRPr="009F3406">
                <w:rPr>
                  <w:sz w:val="24"/>
                  <w:szCs w:val="24"/>
                </w:rPr>
                <w:t xml:space="preserve">Luther, Martin. The Ninety-Five Thesis on the Power and Efficacy of Indulgences. (1517) </w:t>
              </w:r>
            </w:p>
            <w:p w14:paraId="0324E038" w14:textId="48712807" w:rsidR="00E05122" w:rsidRPr="009F3406" w:rsidRDefault="00E05122" w:rsidP="00005D2E">
              <w:pPr>
                <w:pStyle w:val="ListParagraph"/>
                <w:numPr>
                  <w:ilvl w:val="0"/>
                  <w:numId w:val="9"/>
                </w:numPr>
                <w:rPr>
                  <w:sz w:val="24"/>
                  <w:szCs w:val="24"/>
                </w:rPr>
              </w:pPr>
              <w:r w:rsidRPr="009F3406">
                <w:rPr>
                  <w:sz w:val="24"/>
                  <w:szCs w:val="24"/>
                </w:rPr>
                <w:t>Lindberg, Carter. The European Reformations. 2</w:t>
              </w:r>
              <w:r w:rsidRPr="009F3406">
                <w:rPr>
                  <w:sz w:val="24"/>
                  <w:szCs w:val="24"/>
                  <w:vertAlign w:val="superscript"/>
                </w:rPr>
                <w:t>nd</w:t>
              </w:r>
              <w:r w:rsidRPr="009F3406">
                <w:rPr>
                  <w:sz w:val="24"/>
                  <w:szCs w:val="24"/>
                </w:rPr>
                <w:t xml:space="preserve"> edn. Wiley-Blackwell</w:t>
              </w:r>
              <w:r w:rsidR="0045741D" w:rsidRPr="009F3406">
                <w:rPr>
                  <w:sz w:val="24"/>
                  <w:szCs w:val="24"/>
                </w:rPr>
                <w:t xml:space="preserve"> (</w:t>
              </w:r>
              <w:r w:rsidRPr="009F3406">
                <w:rPr>
                  <w:sz w:val="24"/>
                  <w:szCs w:val="24"/>
                </w:rPr>
                <w:t>2010</w:t>
              </w:r>
              <w:r w:rsidR="0045741D" w:rsidRPr="009F3406">
                <w:rPr>
                  <w:sz w:val="24"/>
                  <w:szCs w:val="24"/>
                </w:rPr>
                <w:t>)</w:t>
              </w:r>
            </w:p>
            <w:p w14:paraId="38BA6803" w14:textId="28702333" w:rsidR="00E05122" w:rsidRPr="009F3406" w:rsidRDefault="00E05122" w:rsidP="00005D2E">
              <w:pPr>
                <w:pStyle w:val="ListParagraph"/>
                <w:numPr>
                  <w:ilvl w:val="0"/>
                  <w:numId w:val="9"/>
                </w:numPr>
                <w:rPr>
                  <w:sz w:val="24"/>
                  <w:szCs w:val="24"/>
                </w:rPr>
              </w:pPr>
              <w:r w:rsidRPr="009F3406">
                <w:rPr>
                  <w:sz w:val="24"/>
                  <w:szCs w:val="24"/>
                </w:rPr>
                <w:t xml:space="preserve">MacCulloch, Diarmaid. Reformation: Europe’s House Divide 1490-1700. Penguin Books Limited, </w:t>
              </w:r>
              <w:r w:rsidR="0045741D" w:rsidRPr="009F3406">
                <w:rPr>
                  <w:sz w:val="24"/>
                  <w:szCs w:val="24"/>
                </w:rPr>
                <w:t>(</w:t>
              </w:r>
              <w:r w:rsidRPr="009F3406">
                <w:rPr>
                  <w:sz w:val="24"/>
                  <w:szCs w:val="24"/>
                </w:rPr>
                <w:t>2004</w:t>
              </w:r>
              <w:r w:rsidR="0045741D" w:rsidRPr="009F3406">
                <w:rPr>
                  <w:sz w:val="24"/>
                  <w:szCs w:val="24"/>
                </w:rPr>
                <w:t>)</w:t>
              </w:r>
            </w:p>
            <w:p w14:paraId="53E38AE0" w14:textId="21938CB6" w:rsidR="00AC33F8" w:rsidRPr="009F3406" w:rsidRDefault="00AC33F8" w:rsidP="00005D2E">
              <w:pPr>
                <w:pStyle w:val="ListParagraph"/>
                <w:numPr>
                  <w:ilvl w:val="0"/>
                  <w:numId w:val="9"/>
                </w:numPr>
                <w:rPr>
                  <w:sz w:val="24"/>
                  <w:szCs w:val="24"/>
                </w:rPr>
              </w:pPr>
              <w:r w:rsidRPr="009F3406">
                <w:rPr>
                  <w:sz w:val="24"/>
                  <w:szCs w:val="24"/>
                </w:rPr>
                <w:t>Tetzel, John. c.</w:t>
              </w:r>
              <w:r w:rsidR="00BC2451" w:rsidRPr="009F3406">
                <w:rPr>
                  <w:sz w:val="24"/>
                  <w:szCs w:val="24"/>
                </w:rPr>
                <w:t>1517</w:t>
              </w:r>
            </w:p>
            <w:p w14:paraId="06D630B0" w14:textId="6216952B" w:rsidR="00787BAA" w:rsidRPr="009F3406" w:rsidRDefault="00787BAA" w:rsidP="00005D2E">
              <w:pPr>
                <w:pStyle w:val="ListParagraph"/>
                <w:numPr>
                  <w:ilvl w:val="0"/>
                  <w:numId w:val="9"/>
                </w:numPr>
                <w:rPr>
                  <w:sz w:val="28"/>
                  <w:szCs w:val="28"/>
                </w:rPr>
              </w:pPr>
              <w:r w:rsidRPr="009F3406">
                <w:rPr>
                  <w:sz w:val="24"/>
                  <w:szCs w:val="24"/>
                </w:rPr>
                <w:t>The Reformation Room. &lt;</w:t>
              </w:r>
              <w:hyperlink r:id="rId8" w:history="1">
                <w:r w:rsidRPr="009F3406">
                  <w:rPr>
                    <w:rStyle w:val="Hyperlink"/>
                    <w:sz w:val="24"/>
                    <w:szCs w:val="24"/>
                  </w:rPr>
                  <w:t>https://www.thereformationroom.com/single-post/2017/07/29/Where-Luther-Walked-5-Wittenberg</w:t>
                </w:r>
              </w:hyperlink>
              <w:r w:rsidRPr="009F3406">
                <w:rPr>
                  <w:sz w:val="24"/>
                  <w:szCs w:val="24"/>
                </w:rPr>
                <w:t>&gt;</w:t>
              </w:r>
            </w:p>
            <w:p w14:paraId="0CFEE97A" w14:textId="41460D28" w:rsidR="009F5C24" w:rsidRPr="009F3406" w:rsidRDefault="009F5C24" w:rsidP="00005D2E">
              <w:pPr>
                <w:pStyle w:val="ListParagraph"/>
                <w:numPr>
                  <w:ilvl w:val="0"/>
                  <w:numId w:val="9"/>
                </w:numPr>
                <w:rPr>
                  <w:sz w:val="24"/>
                  <w:szCs w:val="24"/>
                </w:rPr>
              </w:pPr>
              <w:r w:rsidRPr="009F3406">
                <w:rPr>
                  <w:sz w:val="24"/>
                  <w:szCs w:val="24"/>
                </w:rPr>
                <w:t>Pope Leo X. The Defense of the Seven Sacraments (1521)</w:t>
              </w:r>
            </w:p>
            <w:p w14:paraId="4810407B" w14:textId="01CE8C57" w:rsidR="00E05122" w:rsidRPr="009F3406" w:rsidRDefault="00E05122" w:rsidP="00005D2E">
              <w:pPr>
                <w:pStyle w:val="ListParagraph"/>
                <w:numPr>
                  <w:ilvl w:val="0"/>
                  <w:numId w:val="9"/>
                </w:numPr>
                <w:rPr>
                  <w:sz w:val="24"/>
                  <w:szCs w:val="24"/>
                </w:rPr>
              </w:pPr>
              <w:r w:rsidRPr="009F3406">
                <w:rPr>
                  <w:sz w:val="24"/>
                  <w:szCs w:val="24"/>
                </w:rPr>
                <w:t xml:space="preserve">Warner, Ferd. A Rational Defence of the English Reformation and Protestant Religion. London, </w:t>
              </w:r>
              <w:r w:rsidR="00181A84" w:rsidRPr="009F3406">
                <w:rPr>
                  <w:sz w:val="24"/>
                  <w:szCs w:val="24"/>
                </w:rPr>
                <w:t>(</w:t>
              </w:r>
              <w:r w:rsidRPr="009F3406">
                <w:rPr>
                  <w:sz w:val="24"/>
                  <w:szCs w:val="24"/>
                </w:rPr>
                <w:t>1752</w:t>
              </w:r>
              <w:r w:rsidR="00181A84" w:rsidRPr="009F3406">
                <w:rPr>
                  <w:sz w:val="24"/>
                  <w:szCs w:val="24"/>
                </w:rPr>
                <w:t>)</w:t>
              </w:r>
            </w:p>
          </w:sdtContent>
        </w:sdt>
      </w:sdtContent>
    </w:sdt>
    <w:p w14:paraId="1F311DEA" w14:textId="6833838A" w:rsidR="00F07D16" w:rsidRPr="00E05122" w:rsidRDefault="00F07D16" w:rsidP="00E05122">
      <w:pPr>
        <w:rPr>
          <w:rFonts w:cstheme="minorHAnsi"/>
          <w:sz w:val="24"/>
          <w:szCs w:val="24"/>
          <w:highlight w:val="darkMagenta"/>
        </w:rPr>
      </w:pPr>
    </w:p>
    <w:sectPr w:rsidR="00F07D16" w:rsidRPr="00E05122" w:rsidSect="00DC4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E976" w14:textId="77777777" w:rsidR="00955436" w:rsidRDefault="00955436" w:rsidP="000A6D1E">
      <w:pPr>
        <w:spacing w:after="0" w:line="240" w:lineRule="auto"/>
      </w:pPr>
      <w:r>
        <w:separator/>
      </w:r>
    </w:p>
  </w:endnote>
  <w:endnote w:type="continuationSeparator" w:id="0">
    <w:p w14:paraId="281456D8" w14:textId="77777777" w:rsidR="00955436" w:rsidRDefault="00955436" w:rsidP="000A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F358" w14:textId="77777777" w:rsidR="00955436" w:rsidRDefault="00955436" w:rsidP="000A6D1E">
      <w:pPr>
        <w:spacing w:after="0" w:line="240" w:lineRule="auto"/>
      </w:pPr>
      <w:r>
        <w:separator/>
      </w:r>
    </w:p>
  </w:footnote>
  <w:footnote w:type="continuationSeparator" w:id="0">
    <w:p w14:paraId="108917B0" w14:textId="77777777" w:rsidR="00955436" w:rsidRDefault="00955436" w:rsidP="000A6D1E">
      <w:pPr>
        <w:spacing w:after="0" w:line="240" w:lineRule="auto"/>
      </w:pPr>
      <w:r>
        <w:continuationSeparator/>
      </w:r>
    </w:p>
  </w:footnote>
  <w:footnote w:id="1">
    <w:p w14:paraId="2959CF00" w14:textId="1776961D" w:rsidR="00406BEB" w:rsidRPr="00627972" w:rsidRDefault="00406BEB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Miguel Vatter. </w:t>
      </w:r>
      <w:r w:rsidRPr="00627972">
        <w:rPr>
          <w:i/>
          <w:iCs/>
        </w:rPr>
        <w:t>Machiavelli’s ‘The Prince’: A Reader’s Guide</w:t>
      </w:r>
      <w:r w:rsidR="0069252F" w:rsidRPr="00627972">
        <w:rPr>
          <w:i/>
          <w:iCs/>
        </w:rPr>
        <w:t>.</w:t>
      </w:r>
      <w:r w:rsidR="0069252F" w:rsidRPr="00627972">
        <w:t xml:space="preserve"> Bloomsbury Publishing Plc, pp.119 (2013)</w:t>
      </w:r>
    </w:p>
  </w:footnote>
  <w:footnote w:id="2">
    <w:p w14:paraId="5199E120" w14:textId="0F65EB97" w:rsidR="003F712F" w:rsidRPr="00627972" w:rsidRDefault="003F712F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</w:t>
      </w:r>
      <w:r w:rsidR="00920B3D" w:rsidRPr="00627972">
        <w:t xml:space="preserve">H. </w:t>
      </w:r>
      <w:r w:rsidRPr="00627972">
        <w:t>Butterfield</w:t>
      </w:r>
      <w:r w:rsidR="00920B3D" w:rsidRPr="00627972">
        <w:t xml:space="preserve">. </w:t>
      </w:r>
      <w:r w:rsidR="006179C1" w:rsidRPr="00627972">
        <w:t>‘</w:t>
      </w:r>
      <w:r w:rsidR="0039298F" w:rsidRPr="00627972">
        <w:t>Professor Chabod and the Machiavelli controversies</w:t>
      </w:r>
      <w:r w:rsidR="006179C1" w:rsidRPr="00627972">
        <w:t>’</w:t>
      </w:r>
      <w:r w:rsidR="0039298F" w:rsidRPr="00627972">
        <w:t>, The Historical Journal, Vol. 2, Issue 1</w:t>
      </w:r>
      <w:r w:rsidR="00D7474E" w:rsidRPr="00627972">
        <w:t>, pp.81 (1959)</w:t>
      </w:r>
    </w:p>
  </w:footnote>
  <w:footnote w:id="3">
    <w:p w14:paraId="0CC078F3" w14:textId="4E8E775E" w:rsidR="005612CC" w:rsidRPr="00627972" w:rsidRDefault="005612CC" w:rsidP="005612CC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William Shakespeare, </w:t>
      </w:r>
      <w:r w:rsidRPr="00627972">
        <w:rPr>
          <w:i/>
          <w:iCs/>
        </w:rPr>
        <w:t>Othello</w:t>
      </w:r>
      <w:r w:rsidR="00421339" w:rsidRPr="00627972">
        <w:rPr>
          <w:i/>
          <w:iCs/>
        </w:rPr>
        <w:t>.</w:t>
      </w:r>
      <w:r w:rsidRPr="00627972">
        <w:rPr>
          <w:i/>
          <w:iCs/>
        </w:rPr>
        <w:t xml:space="preserve"> </w:t>
      </w:r>
      <w:r w:rsidRPr="00627972">
        <w:t xml:space="preserve">Act </w:t>
      </w:r>
      <w:r w:rsidR="00421339" w:rsidRPr="00627972">
        <w:t>5, Scene 1</w:t>
      </w:r>
      <w:r w:rsidR="00421339" w:rsidRPr="00627972">
        <w:rPr>
          <w:i/>
          <w:iCs/>
        </w:rPr>
        <w:t xml:space="preserve"> </w:t>
      </w:r>
      <w:r w:rsidRPr="00627972">
        <w:t>(1603)</w:t>
      </w:r>
    </w:p>
  </w:footnote>
  <w:footnote w:id="4">
    <w:p w14:paraId="46449436" w14:textId="5884AFE2" w:rsidR="00B050E9" w:rsidRPr="00627972" w:rsidRDefault="00B050E9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</w:t>
      </w:r>
      <w:r w:rsidR="006179C1" w:rsidRPr="00627972">
        <w:t>Kendall D’Andrade. ‘</w:t>
      </w:r>
      <w:r w:rsidR="003728B0" w:rsidRPr="00627972">
        <w:t>Machiavelli’s ‘Prince’ as CEO,’ Business Ethics Quarterly, Vol. 3, No. 4</w:t>
      </w:r>
      <w:r w:rsidR="00E86B6D" w:rsidRPr="00627972">
        <w:t>, pp.400 (1993)</w:t>
      </w:r>
    </w:p>
  </w:footnote>
  <w:footnote w:id="5">
    <w:p w14:paraId="0CBFF505" w14:textId="28039FBA" w:rsidR="000A6D1E" w:rsidRPr="00627972" w:rsidRDefault="000A6D1E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William Shakespeare</w:t>
      </w:r>
      <w:r w:rsidR="000035A2" w:rsidRPr="00627972">
        <w:t xml:space="preserve">, </w:t>
      </w:r>
      <w:r w:rsidRPr="00627972">
        <w:rPr>
          <w:i/>
          <w:iCs/>
        </w:rPr>
        <w:t>Henry VI, Part III</w:t>
      </w:r>
      <w:r w:rsidR="009C3101" w:rsidRPr="00627972">
        <w:rPr>
          <w:i/>
          <w:iCs/>
        </w:rPr>
        <w:t>.</w:t>
      </w:r>
      <w:r w:rsidR="0044045A" w:rsidRPr="00627972">
        <w:rPr>
          <w:i/>
          <w:iCs/>
        </w:rPr>
        <w:t xml:space="preserve"> </w:t>
      </w:r>
      <w:r w:rsidR="0044045A" w:rsidRPr="00627972">
        <w:t>Act 3, Scene 2</w:t>
      </w:r>
      <w:r w:rsidR="007B7837" w:rsidRPr="00627972">
        <w:rPr>
          <w:i/>
          <w:iCs/>
        </w:rPr>
        <w:t xml:space="preserve"> </w:t>
      </w:r>
      <w:r w:rsidR="007B7837" w:rsidRPr="00627972">
        <w:t>(1591)</w:t>
      </w:r>
    </w:p>
  </w:footnote>
  <w:footnote w:id="6">
    <w:p w14:paraId="39A47242" w14:textId="77777777" w:rsidR="00A81DC1" w:rsidRPr="00627972" w:rsidRDefault="00A81DC1" w:rsidP="00A81DC1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Rafael Major. ‘A New Argument for Morality: Machiavelli and the Ancient’, Vol. 60, No. 2 (2007), pp.173</w:t>
      </w:r>
    </w:p>
  </w:footnote>
  <w:footnote w:id="7">
    <w:p w14:paraId="6BE9245D" w14:textId="77777777" w:rsidR="009A33C0" w:rsidRPr="00627972" w:rsidRDefault="009A33C0" w:rsidP="009A33C0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David Englander. </w:t>
      </w:r>
      <w:r w:rsidRPr="00627972">
        <w:rPr>
          <w:i/>
          <w:iCs/>
        </w:rPr>
        <w:t>Culture and belief in Europe, 1450-1600: an anthology of sources</w:t>
      </w:r>
      <w:r w:rsidRPr="00627972">
        <w:t>. Oxford, UK: Basil Blackwell in association with the Open University, pp.71, pp.71, pp.17 (1990)</w:t>
      </w:r>
    </w:p>
  </w:footnote>
  <w:footnote w:id="8">
    <w:p w14:paraId="6BA6D77C" w14:textId="1BF09C2A" w:rsidR="00930C59" w:rsidRPr="00627972" w:rsidRDefault="00930C59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</w:t>
      </w:r>
      <w:r w:rsidR="008C2166" w:rsidRPr="00627972">
        <w:t>Major, p</w:t>
      </w:r>
      <w:r w:rsidR="009F27DC" w:rsidRPr="00627972">
        <w:t>p</w:t>
      </w:r>
      <w:r w:rsidR="008C2166" w:rsidRPr="00627972">
        <w:t>. 174</w:t>
      </w:r>
    </w:p>
  </w:footnote>
  <w:footnote w:id="9">
    <w:p w14:paraId="11578A0D" w14:textId="31CCC688" w:rsidR="00AF10B7" w:rsidRPr="00627972" w:rsidRDefault="00AF10B7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</w:t>
      </w:r>
      <w:r w:rsidR="00E340B9" w:rsidRPr="00627972">
        <w:t>Ibid, p.173</w:t>
      </w:r>
    </w:p>
  </w:footnote>
  <w:footnote w:id="10">
    <w:p w14:paraId="668D498C" w14:textId="486452AC" w:rsidR="007C52F0" w:rsidRPr="00627972" w:rsidRDefault="007C52F0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</w:t>
      </w:r>
      <w:r w:rsidR="007D2B2B" w:rsidRPr="00627972">
        <w:t>Ibid, p.174</w:t>
      </w:r>
    </w:p>
  </w:footnote>
  <w:footnote w:id="11">
    <w:p w14:paraId="3F49A8F7" w14:textId="39326D8C" w:rsidR="00F25403" w:rsidRDefault="00F25403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</w:t>
      </w:r>
      <w:r w:rsidR="00E341EA" w:rsidRPr="00627972">
        <w:t>David Benioff and D. B. Weiss,</w:t>
      </w:r>
      <w:r w:rsidR="00ED76A5" w:rsidRPr="00627972">
        <w:t xml:space="preserve"> </w:t>
      </w:r>
      <w:r w:rsidR="00596078" w:rsidRPr="00627972">
        <w:rPr>
          <w:i/>
          <w:iCs/>
        </w:rPr>
        <w:t>Game of Thrones</w:t>
      </w:r>
      <w:r w:rsidR="00E341EA" w:rsidRPr="00627972">
        <w:t xml:space="preserve">. </w:t>
      </w:r>
      <w:r w:rsidR="004D3283" w:rsidRPr="00627972">
        <w:t>Season 3, Episode 6</w:t>
      </w:r>
      <w:r w:rsidR="00E341EA" w:rsidRPr="00627972">
        <w:t xml:space="preserve"> (HBO, 2011)</w:t>
      </w:r>
    </w:p>
  </w:footnote>
  <w:footnote w:id="12">
    <w:p w14:paraId="5321033C" w14:textId="39A202E0" w:rsidR="00A576BC" w:rsidRPr="00627972" w:rsidRDefault="00A576BC">
      <w:pPr>
        <w:pStyle w:val="FootnoteText"/>
      </w:pPr>
      <w:r w:rsidRPr="00627972">
        <w:rPr>
          <w:rStyle w:val="FootnoteReference"/>
        </w:rPr>
        <w:footnoteRef/>
      </w:r>
      <w:r w:rsidR="00CA1893" w:rsidRPr="00627972">
        <w:t xml:space="preserve"> </w:t>
      </w:r>
      <w:r w:rsidR="00E340B9" w:rsidRPr="00627972">
        <w:t>Englander</w:t>
      </w:r>
      <w:r w:rsidR="00CA1893" w:rsidRPr="00627972">
        <w:t>,</w:t>
      </w:r>
      <w:r w:rsidRPr="00627972">
        <w:t xml:space="preserve"> </w:t>
      </w:r>
      <w:r w:rsidR="00C27B35" w:rsidRPr="00627972">
        <w:t>p</w:t>
      </w:r>
      <w:r w:rsidRPr="00627972">
        <w:t>.</w:t>
      </w:r>
      <w:r w:rsidR="00E41618" w:rsidRPr="00627972">
        <w:t>75</w:t>
      </w:r>
      <w:r w:rsidR="0004110A" w:rsidRPr="00627972">
        <w:t>, p.75, p.75</w:t>
      </w:r>
      <w:r w:rsidR="00E41618" w:rsidRPr="00627972">
        <w:t xml:space="preserve"> </w:t>
      </w:r>
    </w:p>
  </w:footnote>
  <w:footnote w:id="13">
    <w:p w14:paraId="67D00D5D" w14:textId="77777777" w:rsidR="004329C2" w:rsidRPr="00627972" w:rsidRDefault="004329C2" w:rsidP="004329C2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Ibid, p.73, p.73 </w:t>
      </w:r>
    </w:p>
  </w:footnote>
  <w:footnote w:id="14">
    <w:p w14:paraId="76BC05E1" w14:textId="4B507991" w:rsidR="00DD4E55" w:rsidRPr="00627972" w:rsidRDefault="00DD4E55" w:rsidP="00DD4E55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Ibid, p.76</w:t>
      </w:r>
    </w:p>
  </w:footnote>
  <w:footnote w:id="15">
    <w:p w14:paraId="65497A2A" w14:textId="77777777" w:rsidR="00DD4E55" w:rsidRPr="00627972" w:rsidRDefault="00DD4E55" w:rsidP="00DD4E55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Joshua Horn. ‘Why Was Hannibal a Great General?’, Discerning History, 2017</w:t>
      </w:r>
    </w:p>
  </w:footnote>
  <w:footnote w:id="16">
    <w:p w14:paraId="54865396" w14:textId="74391A18" w:rsidR="00AC5FCA" w:rsidRPr="00627972" w:rsidRDefault="00AC5FCA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</w:t>
      </w:r>
      <w:r w:rsidR="00366015" w:rsidRPr="00627972">
        <w:t>Ibid</w:t>
      </w:r>
      <w:r w:rsidR="005A5B39" w:rsidRPr="00627972">
        <w:t>, Ibid</w:t>
      </w:r>
    </w:p>
  </w:footnote>
  <w:footnote w:id="17">
    <w:p w14:paraId="00A3755A" w14:textId="77777777" w:rsidR="00AA362E" w:rsidRPr="00627972" w:rsidRDefault="00AA362E" w:rsidP="00AA362E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Christopher Holman. </w:t>
      </w:r>
      <w:r w:rsidRPr="00627972">
        <w:rPr>
          <w:i/>
          <w:iCs/>
        </w:rPr>
        <w:t xml:space="preserve">Machiavelli and the politics of democratic innovation. </w:t>
      </w:r>
      <w:r w:rsidRPr="00627972">
        <w:t>Toronto, Buffalo: University of Toronto Press, pp.17 (2018)</w:t>
      </w:r>
    </w:p>
  </w:footnote>
  <w:footnote w:id="18">
    <w:p w14:paraId="4F939F17" w14:textId="181E02ED" w:rsidR="004B21C6" w:rsidRPr="00627972" w:rsidRDefault="004B21C6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</w:t>
      </w:r>
      <w:r w:rsidR="006169CC" w:rsidRPr="00627972">
        <w:t>Quentin Skinner</w:t>
      </w:r>
      <w:r w:rsidR="00FE315C" w:rsidRPr="00627972">
        <w:t>. Machiavelli: A Very Short Introduction</w:t>
      </w:r>
      <w:r w:rsidR="00E83E30" w:rsidRPr="00627972">
        <w:t>. Oxford University Press, USA. pp.3</w:t>
      </w:r>
      <w:r w:rsidR="00BA4778" w:rsidRPr="00627972">
        <w:t>, pp.3</w:t>
      </w:r>
      <w:r w:rsidR="00E83E30" w:rsidRPr="00627972">
        <w:t xml:space="preserve"> (2001)</w:t>
      </w:r>
    </w:p>
  </w:footnote>
  <w:footnote w:id="19">
    <w:p w14:paraId="0F6A8001" w14:textId="3B1C7509" w:rsidR="00A3501B" w:rsidRPr="00627972" w:rsidRDefault="00A3501B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</w:t>
      </w:r>
      <w:r w:rsidR="000F2B31" w:rsidRPr="00627972">
        <w:t>Vatter,</w:t>
      </w:r>
      <w:r w:rsidRPr="00627972">
        <w:t xml:space="preserve"> </w:t>
      </w:r>
      <w:r w:rsidR="000F2B31" w:rsidRPr="00627972">
        <w:t>p</w:t>
      </w:r>
      <w:r w:rsidRPr="00627972">
        <w:t>p.119</w:t>
      </w:r>
    </w:p>
  </w:footnote>
  <w:footnote w:id="20">
    <w:p w14:paraId="0D6D1B74" w14:textId="5B70C0B7" w:rsidR="00B345DA" w:rsidRDefault="00B345DA">
      <w:pPr>
        <w:pStyle w:val="FootnoteText"/>
      </w:pPr>
      <w:r w:rsidRPr="00627972">
        <w:rPr>
          <w:rStyle w:val="FootnoteReference"/>
        </w:rPr>
        <w:footnoteRef/>
      </w:r>
      <w:r w:rsidRPr="00627972">
        <w:t xml:space="preserve"> Ibid, </w:t>
      </w:r>
      <w:r w:rsidR="006B283F" w:rsidRPr="00627972">
        <w:t>p.</w:t>
      </w:r>
      <w:r w:rsidRPr="00627972">
        <w:t>120</w:t>
      </w:r>
    </w:p>
  </w:footnote>
  <w:footnote w:id="21">
    <w:p w14:paraId="62E83525" w14:textId="1527D42E" w:rsidR="00D16ECD" w:rsidRPr="009F3406" w:rsidRDefault="00D16ECD">
      <w:pPr>
        <w:pStyle w:val="FootnoteText"/>
      </w:pPr>
      <w:r w:rsidRPr="009F3406">
        <w:rPr>
          <w:rStyle w:val="FootnoteReference"/>
        </w:rPr>
        <w:footnoteRef/>
      </w:r>
      <w:r w:rsidRPr="009F3406">
        <w:t xml:space="preserve"> </w:t>
      </w:r>
      <w:r w:rsidR="00FA68B7" w:rsidRPr="009F3406">
        <w:t xml:space="preserve">Eamon Duffy. Reformation divided: Catholics, </w:t>
      </w:r>
      <w:proofErr w:type="gramStart"/>
      <w:r w:rsidR="00FA68B7" w:rsidRPr="009F3406">
        <w:t>Protestants</w:t>
      </w:r>
      <w:proofErr w:type="gramEnd"/>
      <w:r w:rsidR="00FA68B7" w:rsidRPr="009F3406">
        <w:t xml:space="preserve"> and the conversion of England. London Bloomsbury Publishing Plc,</w:t>
      </w:r>
      <w:r w:rsidR="00BF4CE4" w:rsidRPr="009F3406">
        <w:t xml:space="preserve"> pp.1</w:t>
      </w:r>
      <w:r w:rsidR="00EA3DA3" w:rsidRPr="009F3406">
        <w:t xml:space="preserve"> (2017)</w:t>
      </w:r>
    </w:p>
  </w:footnote>
  <w:footnote w:id="22">
    <w:p w14:paraId="1A75B3C3" w14:textId="545BF35C" w:rsidR="00B21E8E" w:rsidRPr="009F3406" w:rsidRDefault="00B21E8E">
      <w:pPr>
        <w:pStyle w:val="FootnoteText"/>
      </w:pPr>
      <w:r w:rsidRPr="009F3406">
        <w:rPr>
          <w:rStyle w:val="FootnoteReference"/>
        </w:rPr>
        <w:footnoteRef/>
      </w:r>
      <w:r w:rsidRPr="009F3406">
        <w:t xml:space="preserve"> Martin Luther. The Ninety-Five Thesis on the Power and Efficacy of Indulgences</w:t>
      </w:r>
      <w:r w:rsidR="00317272" w:rsidRPr="009F3406">
        <w:t xml:space="preserve">, 4, </w:t>
      </w:r>
      <w:r w:rsidR="00E05122" w:rsidRPr="009F3406">
        <w:t>13 (1517)</w:t>
      </w:r>
    </w:p>
  </w:footnote>
  <w:footnote w:id="23">
    <w:p w14:paraId="1C8AB142" w14:textId="77777777" w:rsidR="00E91779" w:rsidRPr="009F3406" w:rsidRDefault="00E91779" w:rsidP="00E91779">
      <w:pPr>
        <w:pStyle w:val="FootnoteText"/>
      </w:pPr>
      <w:r w:rsidRPr="009F3406">
        <w:rPr>
          <w:rStyle w:val="FootnoteReference"/>
        </w:rPr>
        <w:footnoteRef/>
      </w:r>
      <w:r w:rsidRPr="009F3406">
        <w:t xml:space="preserve"> Pope Leo X. Defense of the Seven Sacraments, pp. 9 (1521)</w:t>
      </w:r>
    </w:p>
  </w:footnote>
  <w:footnote w:id="24">
    <w:p w14:paraId="074D127F" w14:textId="643C171C" w:rsidR="001F1AF4" w:rsidRDefault="001F1AF4" w:rsidP="001F1AF4">
      <w:pPr>
        <w:pStyle w:val="FootnoteText"/>
      </w:pPr>
      <w:r w:rsidRPr="009F3406">
        <w:rPr>
          <w:rStyle w:val="FootnoteReference"/>
        </w:rPr>
        <w:footnoteRef/>
      </w:r>
      <w:r w:rsidRPr="009F3406">
        <w:t xml:space="preserve"> Diarmaid MacCulloch. Reformation: Europe’s House Divided 1490-1700. Penguins Book Limited, pp. Part One</w:t>
      </w:r>
      <w:r w:rsidR="009F3406" w:rsidRPr="009F3406">
        <w:t xml:space="preserve"> </w:t>
      </w:r>
      <w:r w:rsidRPr="009F3406">
        <w:t>(2004)</w:t>
      </w:r>
    </w:p>
  </w:footnote>
  <w:footnote w:id="25">
    <w:p w14:paraId="0DCA4BC9" w14:textId="191B6B6F" w:rsidR="00644F25" w:rsidRPr="009F3406" w:rsidRDefault="00644F25">
      <w:pPr>
        <w:pStyle w:val="FootnoteText"/>
      </w:pPr>
      <w:r w:rsidRPr="009F3406">
        <w:rPr>
          <w:rStyle w:val="FootnoteReference"/>
        </w:rPr>
        <w:footnoteRef/>
      </w:r>
      <w:r w:rsidRPr="009F3406">
        <w:t xml:space="preserve"> Duffy. Reformation divided</w:t>
      </w:r>
      <w:r w:rsidR="006E2F5A" w:rsidRPr="009F3406">
        <w:t>, pp.1 (2017)</w:t>
      </w:r>
    </w:p>
  </w:footnote>
  <w:footnote w:id="26">
    <w:p w14:paraId="6EDD9E57" w14:textId="77777777" w:rsidR="00A352E2" w:rsidRPr="009F3406" w:rsidRDefault="00A352E2" w:rsidP="00A352E2">
      <w:pPr>
        <w:pStyle w:val="FootnoteText"/>
      </w:pPr>
      <w:r w:rsidRPr="009F3406">
        <w:rPr>
          <w:rStyle w:val="FootnoteReference"/>
        </w:rPr>
        <w:footnoteRef/>
      </w:r>
      <w:r w:rsidRPr="009F3406">
        <w:t xml:space="preserve"> Ferd Warner. A Rational Defense of the English Reformation and Protestant Religion. London, pp. viii (1752)</w:t>
      </w:r>
    </w:p>
  </w:footnote>
  <w:footnote w:id="27">
    <w:p w14:paraId="5A034496" w14:textId="77777777" w:rsidR="00AA3CAE" w:rsidRPr="009F3406" w:rsidRDefault="00AA3CAE" w:rsidP="00AA3CAE">
      <w:pPr>
        <w:pStyle w:val="FootnoteText"/>
      </w:pPr>
      <w:r w:rsidRPr="009F3406">
        <w:rPr>
          <w:rStyle w:val="FootnoteReference"/>
        </w:rPr>
        <w:footnoteRef/>
      </w:r>
      <w:r w:rsidRPr="009F3406">
        <w:t xml:space="preserve"> John Tetzel, c.1517</w:t>
      </w:r>
    </w:p>
  </w:footnote>
  <w:footnote w:id="28">
    <w:p w14:paraId="4A6B0449" w14:textId="0DB58EDA" w:rsidR="00AA3CAE" w:rsidRPr="009F3406" w:rsidRDefault="00AA3CAE" w:rsidP="00AA3CAE">
      <w:pPr>
        <w:pStyle w:val="FootnoteText"/>
      </w:pPr>
      <w:r w:rsidRPr="009F3406">
        <w:rPr>
          <w:rStyle w:val="FootnoteReference"/>
        </w:rPr>
        <w:footnoteRef/>
      </w:r>
      <w:r w:rsidRPr="009F3406">
        <w:t xml:space="preserve"> Martin Luther. The Ninety-Five Thesis on the Power and Efficacy of Indulgences, 27 (1517)</w:t>
      </w:r>
    </w:p>
  </w:footnote>
  <w:footnote w:id="29">
    <w:p w14:paraId="2997D4BC" w14:textId="77777777" w:rsidR="00923901" w:rsidRPr="009F3406" w:rsidRDefault="00923901" w:rsidP="00923901">
      <w:pPr>
        <w:pStyle w:val="FootnoteText"/>
      </w:pPr>
      <w:r w:rsidRPr="009F3406">
        <w:rPr>
          <w:rStyle w:val="FootnoteReference"/>
        </w:rPr>
        <w:footnoteRef/>
      </w:r>
      <w:r w:rsidRPr="009F3406">
        <w:t xml:space="preserve"> The Reformation Room. &lt;</w:t>
      </w:r>
      <w:hyperlink r:id="rId1" w:history="1">
        <w:r w:rsidRPr="009F3406">
          <w:rPr>
            <w:rStyle w:val="Hyperlink"/>
          </w:rPr>
          <w:t>https://www.thereformationroom.com/single-post/2017/07/29/Where-Luther-Walked-5-Wittenberg</w:t>
        </w:r>
      </w:hyperlink>
      <w:r w:rsidRPr="009F3406">
        <w:t>&gt;</w:t>
      </w:r>
    </w:p>
  </w:footnote>
  <w:footnote w:id="30">
    <w:p w14:paraId="4A0CF092" w14:textId="77777777" w:rsidR="00B61BF1" w:rsidRDefault="00B61BF1" w:rsidP="00B61BF1">
      <w:pPr>
        <w:pStyle w:val="FootnoteText"/>
      </w:pPr>
      <w:r w:rsidRPr="009F3406">
        <w:rPr>
          <w:rStyle w:val="FootnoteReference"/>
        </w:rPr>
        <w:footnoteRef/>
      </w:r>
      <w:r w:rsidRPr="009F3406">
        <w:t xml:space="preserve"> Carter Lindberg. The European Reformations. 2</w:t>
      </w:r>
      <w:r w:rsidRPr="009F3406">
        <w:rPr>
          <w:vertAlign w:val="superscript"/>
        </w:rPr>
        <w:t>nd</w:t>
      </w:r>
      <w:r w:rsidRPr="009F3406">
        <w:t xml:space="preserve"> edn. Wiley-Blackwell, pp.34 (2010)</w:t>
      </w:r>
    </w:p>
  </w:footnote>
  <w:footnote w:id="31">
    <w:p w14:paraId="696D7D9D" w14:textId="56992168" w:rsidR="006E2F5A" w:rsidRPr="009F3406" w:rsidRDefault="006E2F5A">
      <w:pPr>
        <w:pStyle w:val="FootnoteText"/>
      </w:pPr>
      <w:r w:rsidRPr="009F3406">
        <w:rPr>
          <w:rStyle w:val="FootnoteReference"/>
        </w:rPr>
        <w:footnoteRef/>
      </w:r>
      <w:r w:rsidRPr="009F3406">
        <w:t xml:space="preserve"> </w:t>
      </w:r>
      <w:r w:rsidR="00632230" w:rsidRPr="009F3406">
        <w:t>Ibid</w:t>
      </w:r>
      <w:r w:rsidRPr="009F3406">
        <w:t xml:space="preserve">, </w:t>
      </w:r>
      <w:r w:rsidR="00C32B30" w:rsidRPr="009F3406">
        <w:t xml:space="preserve">p.34, </w:t>
      </w:r>
      <w:r w:rsidRPr="009F3406">
        <w:t>p.34</w:t>
      </w:r>
    </w:p>
  </w:footnote>
  <w:footnote w:id="32">
    <w:p w14:paraId="721C82A0" w14:textId="07BF4829" w:rsidR="00856E39" w:rsidRDefault="00856E39">
      <w:pPr>
        <w:pStyle w:val="FootnoteText"/>
      </w:pPr>
      <w:r w:rsidRPr="009F3406">
        <w:rPr>
          <w:rStyle w:val="FootnoteReference"/>
        </w:rPr>
        <w:footnoteRef/>
      </w:r>
      <w:r w:rsidRPr="009F3406">
        <w:t xml:space="preserve"> Eamon Duffy. The Stripping of the altars: traditional religion in England, c.1400</w:t>
      </w:r>
      <w:r w:rsidR="00335F99" w:rsidRPr="009F3406">
        <w:t>-c.1580. London: Yale University Press, pp.92. (</w:t>
      </w:r>
      <w:r w:rsidR="009755FC" w:rsidRPr="009F3406">
        <w:t>2005)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F7B0F"/>
    <w:multiLevelType w:val="hybridMultilevel"/>
    <w:tmpl w:val="1CBEE562"/>
    <w:lvl w:ilvl="0" w:tplc="A1D2A828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F59E9"/>
    <w:multiLevelType w:val="hybridMultilevel"/>
    <w:tmpl w:val="461AE6C4"/>
    <w:lvl w:ilvl="0" w:tplc="5DC84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B747E"/>
    <w:multiLevelType w:val="hybridMultilevel"/>
    <w:tmpl w:val="A49EF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A1C28"/>
    <w:multiLevelType w:val="hybridMultilevel"/>
    <w:tmpl w:val="61488A1C"/>
    <w:lvl w:ilvl="0" w:tplc="20907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63EE1"/>
    <w:multiLevelType w:val="hybridMultilevel"/>
    <w:tmpl w:val="FE386F84"/>
    <w:lvl w:ilvl="0" w:tplc="F7CE4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50FDB"/>
    <w:multiLevelType w:val="hybridMultilevel"/>
    <w:tmpl w:val="09962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31B4A"/>
    <w:multiLevelType w:val="hybridMultilevel"/>
    <w:tmpl w:val="F02A2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01DFE"/>
    <w:multiLevelType w:val="hybridMultilevel"/>
    <w:tmpl w:val="C434A874"/>
    <w:lvl w:ilvl="0" w:tplc="8D3A7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F373E"/>
    <w:multiLevelType w:val="hybridMultilevel"/>
    <w:tmpl w:val="FAFAF478"/>
    <w:lvl w:ilvl="0" w:tplc="8D3A7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507894">
    <w:abstractNumId w:val="3"/>
  </w:num>
  <w:num w:numId="2" w16cid:durableId="1315601326">
    <w:abstractNumId w:val="4"/>
  </w:num>
  <w:num w:numId="3" w16cid:durableId="776872167">
    <w:abstractNumId w:val="1"/>
  </w:num>
  <w:num w:numId="4" w16cid:durableId="543949401">
    <w:abstractNumId w:val="7"/>
  </w:num>
  <w:num w:numId="5" w16cid:durableId="1995641859">
    <w:abstractNumId w:val="8"/>
  </w:num>
  <w:num w:numId="6" w16cid:durableId="1135416151">
    <w:abstractNumId w:val="0"/>
  </w:num>
  <w:num w:numId="7" w16cid:durableId="1439253536">
    <w:abstractNumId w:val="2"/>
  </w:num>
  <w:num w:numId="8" w16cid:durableId="1397239266">
    <w:abstractNumId w:val="6"/>
  </w:num>
  <w:num w:numId="9" w16cid:durableId="1995528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9D"/>
    <w:rsid w:val="000016DE"/>
    <w:rsid w:val="000035A2"/>
    <w:rsid w:val="000046A4"/>
    <w:rsid w:val="000058ED"/>
    <w:rsid w:val="00005D2E"/>
    <w:rsid w:val="0000651B"/>
    <w:rsid w:val="000077C2"/>
    <w:rsid w:val="00027008"/>
    <w:rsid w:val="00027151"/>
    <w:rsid w:val="00040DFC"/>
    <w:rsid w:val="0004110A"/>
    <w:rsid w:val="00053B08"/>
    <w:rsid w:val="00054C55"/>
    <w:rsid w:val="000604A9"/>
    <w:rsid w:val="00061231"/>
    <w:rsid w:val="0008029D"/>
    <w:rsid w:val="00080644"/>
    <w:rsid w:val="000812CE"/>
    <w:rsid w:val="0008139C"/>
    <w:rsid w:val="00083B67"/>
    <w:rsid w:val="0008518D"/>
    <w:rsid w:val="00092085"/>
    <w:rsid w:val="000937A4"/>
    <w:rsid w:val="00093DB0"/>
    <w:rsid w:val="000A6D1E"/>
    <w:rsid w:val="000B00F7"/>
    <w:rsid w:val="000B0610"/>
    <w:rsid w:val="000B1F1B"/>
    <w:rsid w:val="000B26E6"/>
    <w:rsid w:val="000C21BC"/>
    <w:rsid w:val="000C3703"/>
    <w:rsid w:val="000C60BE"/>
    <w:rsid w:val="000C69E6"/>
    <w:rsid w:val="000C7F22"/>
    <w:rsid w:val="000D2749"/>
    <w:rsid w:val="000D7476"/>
    <w:rsid w:val="000E7E72"/>
    <w:rsid w:val="000F2B31"/>
    <w:rsid w:val="000F3570"/>
    <w:rsid w:val="000F3914"/>
    <w:rsid w:val="000F53C1"/>
    <w:rsid w:val="001318FF"/>
    <w:rsid w:val="001331E7"/>
    <w:rsid w:val="001360C5"/>
    <w:rsid w:val="001362A0"/>
    <w:rsid w:val="0013782D"/>
    <w:rsid w:val="00140217"/>
    <w:rsid w:val="001408D9"/>
    <w:rsid w:val="00142CB0"/>
    <w:rsid w:val="00143BA6"/>
    <w:rsid w:val="00144980"/>
    <w:rsid w:val="00144D1C"/>
    <w:rsid w:val="00152704"/>
    <w:rsid w:val="00153DEF"/>
    <w:rsid w:val="0015481D"/>
    <w:rsid w:val="00160211"/>
    <w:rsid w:val="00167E32"/>
    <w:rsid w:val="00171E3D"/>
    <w:rsid w:val="00172BF4"/>
    <w:rsid w:val="00180E18"/>
    <w:rsid w:val="00181A84"/>
    <w:rsid w:val="0019169F"/>
    <w:rsid w:val="00196528"/>
    <w:rsid w:val="00196DFC"/>
    <w:rsid w:val="001A23BD"/>
    <w:rsid w:val="001B3C40"/>
    <w:rsid w:val="001C7B0E"/>
    <w:rsid w:val="001D0BC1"/>
    <w:rsid w:val="001D17EA"/>
    <w:rsid w:val="001D3265"/>
    <w:rsid w:val="001D3E7B"/>
    <w:rsid w:val="001D419E"/>
    <w:rsid w:val="001E1BFF"/>
    <w:rsid w:val="001F1AF4"/>
    <w:rsid w:val="001F1E9C"/>
    <w:rsid w:val="001F36B7"/>
    <w:rsid w:val="001F6A62"/>
    <w:rsid w:val="001F7294"/>
    <w:rsid w:val="00201146"/>
    <w:rsid w:val="002026D0"/>
    <w:rsid w:val="0020716E"/>
    <w:rsid w:val="00211B71"/>
    <w:rsid w:val="00215DA7"/>
    <w:rsid w:val="00221FA0"/>
    <w:rsid w:val="00225997"/>
    <w:rsid w:val="00230A1A"/>
    <w:rsid w:val="002375B5"/>
    <w:rsid w:val="002427E2"/>
    <w:rsid w:val="002456E0"/>
    <w:rsid w:val="00253E6B"/>
    <w:rsid w:val="00255BC0"/>
    <w:rsid w:val="00262AEB"/>
    <w:rsid w:val="002635AA"/>
    <w:rsid w:val="00265D42"/>
    <w:rsid w:val="00270A72"/>
    <w:rsid w:val="00272D2F"/>
    <w:rsid w:val="00273CD2"/>
    <w:rsid w:val="002740CC"/>
    <w:rsid w:val="00274300"/>
    <w:rsid w:val="00281BA5"/>
    <w:rsid w:val="00293E97"/>
    <w:rsid w:val="002960EE"/>
    <w:rsid w:val="00297C6E"/>
    <w:rsid w:val="002A0BED"/>
    <w:rsid w:val="002A13AB"/>
    <w:rsid w:val="002A1A35"/>
    <w:rsid w:val="002A3D54"/>
    <w:rsid w:val="002A46D7"/>
    <w:rsid w:val="002A5B91"/>
    <w:rsid w:val="002A65DC"/>
    <w:rsid w:val="002A7F69"/>
    <w:rsid w:val="002B0135"/>
    <w:rsid w:val="002B0208"/>
    <w:rsid w:val="002B29DF"/>
    <w:rsid w:val="002B6713"/>
    <w:rsid w:val="002C3A36"/>
    <w:rsid w:val="002C4CB7"/>
    <w:rsid w:val="002C6E4C"/>
    <w:rsid w:val="002D010B"/>
    <w:rsid w:val="002E5B6E"/>
    <w:rsid w:val="002F5A2A"/>
    <w:rsid w:val="002F7229"/>
    <w:rsid w:val="003005DB"/>
    <w:rsid w:val="00301A0E"/>
    <w:rsid w:val="003030A9"/>
    <w:rsid w:val="00307893"/>
    <w:rsid w:val="00317272"/>
    <w:rsid w:val="00324419"/>
    <w:rsid w:val="00325AB7"/>
    <w:rsid w:val="00335F99"/>
    <w:rsid w:val="00350F76"/>
    <w:rsid w:val="0035755B"/>
    <w:rsid w:val="00366015"/>
    <w:rsid w:val="003720CE"/>
    <w:rsid w:val="003728B0"/>
    <w:rsid w:val="00372A90"/>
    <w:rsid w:val="0037510B"/>
    <w:rsid w:val="00376686"/>
    <w:rsid w:val="00380546"/>
    <w:rsid w:val="0038343F"/>
    <w:rsid w:val="003835AC"/>
    <w:rsid w:val="0039298F"/>
    <w:rsid w:val="00393E09"/>
    <w:rsid w:val="003A1965"/>
    <w:rsid w:val="003B7D25"/>
    <w:rsid w:val="003C5C69"/>
    <w:rsid w:val="003C6E16"/>
    <w:rsid w:val="003D268F"/>
    <w:rsid w:val="003E01DA"/>
    <w:rsid w:val="003E11DA"/>
    <w:rsid w:val="003E152A"/>
    <w:rsid w:val="003E3E1D"/>
    <w:rsid w:val="003E4103"/>
    <w:rsid w:val="003F19B5"/>
    <w:rsid w:val="003F3B53"/>
    <w:rsid w:val="003F41C7"/>
    <w:rsid w:val="003F712F"/>
    <w:rsid w:val="00400087"/>
    <w:rsid w:val="00400A68"/>
    <w:rsid w:val="0040234A"/>
    <w:rsid w:val="0040288A"/>
    <w:rsid w:val="004059A7"/>
    <w:rsid w:val="00406BEB"/>
    <w:rsid w:val="0040748B"/>
    <w:rsid w:val="00413B26"/>
    <w:rsid w:val="004163C5"/>
    <w:rsid w:val="00421328"/>
    <w:rsid w:val="00421339"/>
    <w:rsid w:val="00427776"/>
    <w:rsid w:val="004329C2"/>
    <w:rsid w:val="00433931"/>
    <w:rsid w:val="00436251"/>
    <w:rsid w:val="004402D6"/>
    <w:rsid w:val="0044045A"/>
    <w:rsid w:val="00442177"/>
    <w:rsid w:val="004422B2"/>
    <w:rsid w:val="004528BF"/>
    <w:rsid w:val="00453428"/>
    <w:rsid w:val="0045741D"/>
    <w:rsid w:val="0046312F"/>
    <w:rsid w:val="004718E9"/>
    <w:rsid w:val="0048064A"/>
    <w:rsid w:val="00490502"/>
    <w:rsid w:val="00490EAF"/>
    <w:rsid w:val="004973B4"/>
    <w:rsid w:val="004A2639"/>
    <w:rsid w:val="004B21C6"/>
    <w:rsid w:val="004B2A4B"/>
    <w:rsid w:val="004B2D81"/>
    <w:rsid w:val="004B2F72"/>
    <w:rsid w:val="004B3B4E"/>
    <w:rsid w:val="004B4030"/>
    <w:rsid w:val="004C174A"/>
    <w:rsid w:val="004C3C75"/>
    <w:rsid w:val="004C6B34"/>
    <w:rsid w:val="004C75AD"/>
    <w:rsid w:val="004D3283"/>
    <w:rsid w:val="004D5607"/>
    <w:rsid w:val="004D5F84"/>
    <w:rsid w:val="004D6F46"/>
    <w:rsid w:val="004D6F63"/>
    <w:rsid w:val="004F1658"/>
    <w:rsid w:val="004F3AA2"/>
    <w:rsid w:val="004F5163"/>
    <w:rsid w:val="004F615E"/>
    <w:rsid w:val="00502D98"/>
    <w:rsid w:val="00502F40"/>
    <w:rsid w:val="00505FFE"/>
    <w:rsid w:val="00507BEB"/>
    <w:rsid w:val="005103B1"/>
    <w:rsid w:val="005105B2"/>
    <w:rsid w:val="00511401"/>
    <w:rsid w:val="00511AC6"/>
    <w:rsid w:val="00511F78"/>
    <w:rsid w:val="005121B2"/>
    <w:rsid w:val="0052085D"/>
    <w:rsid w:val="00522D47"/>
    <w:rsid w:val="00533721"/>
    <w:rsid w:val="00535DF8"/>
    <w:rsid w:val="00544D61"/>
    <w:rsid w:val="00547CB4"/>
    <w:rsid w:val="00550FCF"/>
    <w:rsid w:val="00555D20"/>
    <w:rsid w:val="00557A59"/>
    <w:rsid w:val="005612CC"/>
    <w:rsid w:val="005627A0"/>
    <w:rsid w:val="00563727"/>
    <w:rsid w:val="005655EA"/>
    <w:rsid w:val="00565C95"/>
    <w:rsid w:val="00567F45"/>
    <w:rsid w:val="005769CC"/>
    <w:rsid w:val="00587AB8"/>
    <w:rsid w:val="00594EE6"/>
    <w:rsid w:val="00596078"/>
    <w:rsid w:val="00597D43"/>
    <w:rsid w:val="005A05B7"/>
    <w:rsid w:val="005A4E0E"/>
    <w:rsid w:val="005A5B39"/>
    <w:rsid w:val="005A75F7"/>
    <w:rsid w:val="005B2C1F"/>
    <w:rsid w:val="005B68C3"/>
    <w:rsid w:val="005C0F38"/>
    <w:rsid w:val="005C1902"/>
    <w:rsid w:val="005C52F3"/>
    <w:rsid w:val="005C59D5"/>
    <w:rsid w:val="005C6173"/>
    <w:rsid w:val="005D5D29"/>
    <w:rsid w:val="005D6F8C"/>
    <w:rsid w:val="005D7E6C"/>
    <w:rsid w:val="005E367F"/>
    <w:rsid w:val="005E4CF8"/>
    <w:rsid w:val="005F32D5"/>
    <w:rsid w:val="005F4635"/>
    <w:rsid w:val="005F5898"/>
    <w:rsid w:val="005F5D26"/>
    <w:rsid w:val="005F5F6E"/>
    <w:rsid w:val="005F63C5"/>
    <w:rsid w:val="00602C55"/>
    <w:rsid w:val="00606618"/>
    <w:rsid w:val="006103CE"/>
    <w:rsid w:val="00610C1B"/>
    <w:rsid w:val="006127E2"/>
    <w:rsid w:val="006151CC"/>
    <w:rsid w:val="0061551D"/>
    <w:rsid w:val="006167AF"/>
    <w:rsid w:val="006169CC"/>
    <w:rsid w:val="006179C1"/>
    <w:rsid w:val="00625F45"/>
    <w:rsid w:val="00626BFB"/>
    <w:rsid w:val="00627972"/>
    <w:rsid w:val="00632230"/>
    <w:rsid w:val="00633A6F"/>
    <w:rsid w:val="00634862"/>
    <w:rsid w:val="006354B4"/>
    <w:rsid w:val="006400A4"/>
    <w:rsid w:val="0064096A"/>
    <w:rsid w:val="006434BC"/>
    <w:rsid w:val="00644298"/>
    <w:rsid w:val="00644F25"/>
    <w:rsid w:val="00647038"/>
    <w:rsid w:val="006526C1"/>
    <w:rsid w:val="0065627F"/>
    <w:rsid w:val="00657C3E"/>
    <w:rsid w:val="00657F1E"/>
    <w:rsid w:val="00660937"/>
    <w:rsid w:val="00661A31"/>
    <w:rsid w:val="00661F20"/>
    <w:rsid w:val="00667EED"/>
    <w:rsid w:val="00673426"/>
    <w:rsid w:val="00673730"/>
    <w:rsid w:val="00674B26"/>
    <w:rsid w:val="00680BAB"/>
    <w:rsid w:val="006813FA"/>
    <w:rsid w:val="00682C05"/>
    <w:rsid w:val="00684E0B"/>
    <w:rsid w:val="00685EBC"/>
    <w:rsid w:val="0069252F"/>
    <w:rsid w:val="006A07BE"/>
    <w:rsid w:val="006A1254"/>
    <w:rsid w:val="006A2C88"/>
    <w:rsid w:val="006B0DB7"/>
    <w:rsid w:val="006B283F"/>
    <w:rsid w:val="006B51F3"/>
    <w:rsid w:val="006B7697"/>
    <w:rsid w:val="006C0614"/>
    <w:rsid w:val="006C1123"/>
    <w:rsid w:val="006C4158"/>
    <w:rsid w:val="006C5167"/>
    <w:rsid w:val="006D1437"/>
    <w:rsid w:val="006D165C"/>
    <w:rsid w:val="006D508B"/>
    <w:rsid w:val="006D6B99"/>
    <w:rsid w:val="006E1F62"/>
    <w:rsid w:val="006E2372"/>
    <w:rsid w:val="006E2F5A"/>
    <w:rsid w:val="006E34BA"/>
    <w:rsid w:val="006E63CA"/>
    <w:rsid w:val="006F182C"/>
    <w:rsid w:val="006F4325"/>
    <w:rsid w:val="007015BD"/>
    <w:rsid w:val="007022D2"/>
    <w:rsid w:val="00702EA8"/>
    <w:rsid w:val="00703B62"/>
    <w:rsid w:val="00705975"/>
    <w:rsid w:val="00706BFD"/>
    <w:rsid w:val="00706F2B"/>
    <w:rsid w:val="00710B3C"/>
    <w:rsid w:val="00710DF7"/>
    <w:rsid w:val="00716A31"/>
    <w:rsid w:val="00717D78"/>
    <w:rsid w:val="007256B6"/>
    <w:rsid w:val="0072643D"/>
    <w:rsid w:val="007379FB"/>
    <w:rsid w:val="00737F09"/>
    <w:rsid w:val="00742FE2"/>
    <w:rsid w:val="007439A4"/>
    <w:rsid w:val="0074628C"/>
    <w:rsid w:val="007517D1"/>
    <w:rsid w:val="007526F2"/>
    <w:rsid w:val="00756FE4"/>
    <w:rsid w:val="00760752"/>
    <w:rsid w:val="00761BCB"/>
    <w:rsid w:val="00764A5C"/>
    <w:rsid w:val="00766B8C"/>
    <w:rsid w:val="007673CE"/>
    <w:rsid w:val="007755C5"/>
    <w:rsid w:val="00776872"/>
    <w:rsid w:val="00777FE2"/>
    <w:rsid w:val="007849EF"/>
    <w:rsid w:val="00787BAA"/>
    <w:rsid w:val="007906F2"/>
    <w:rsid w:val="0079365A"/>
    <w:rsid w:val="007A0B4D"/>
    <w:rsid w:val="007A3CE3"/>
    <w:rsid w:val="007B3A92"/>
    <w:rsid w:val="007B7655"/>
    <w:rsid w:val="007B7837"/>
    <w:rsid w:val="007C499D"/>
    <w:rsid w:val="007C52F0"/>
    <w:rsid w:val="007C6755"/>
    <w:rsid w:val="007D0C88"/>
    <w:rsid w:val="007D2B2B"/>
    <w:rsid w:val="007D2D4A"/>
    <w:rsid w:val="007D6637"/>
    <w:rsid w:val="007D6E57"/>
    <w:rsid w:val="007E6DAF"/>
    <w:rsid w:val="007F12D6"/>
    <w:rsid w:val="007F19F8"/>
    <w:rsid w:val="007F27AE"/>
    <w:rsid w:val="007F3A5F"/>
    <w:rsid w:val="007F58AD"/>
    <w:rsid w:val="00807D7A"/>
    <w:rsid w:val="0081123D"/>
    <w:rsid w:val="0082781E"/>
    <w:rsid w:val="00835D5E"/>
    <w:rsid w:val="0083677F"/>
    <w:rsid w:val="00836CF4"/>
    <w:rsid w:val="0084076A"/>
    <w:rsid w:val="00843441"/>
    <w:rsid w:val="00843FE6"/>
    <w:rsid w:val="00851154"/>
    <w:rsid w:val="00851E09"/>
    <w:rsid w:val="008558F2"/>
    <w:rsid w:val="00855FA4"/>
    <w:rsid w:val="00856E39"/>
    <w:rsid w:val="00862C64"/>
    <w:rsid w:val="00870043"/>
    <w:rsid w:val="00870F78"/>
    <w:rsid w:val="00876FE9"/>
    <w:rsid w:val="00881F8B"/>
    <w:rsid w:val="0088601C"/>
    <w:rsid w:val="00886494"/>
    <w:rsid w:val="00891BDE"/>
    <w:rsid w:val="008A1FB2"/>
    <w:rsid w:val="008A377F"/>
    <w:rsid w:val="008A5CFE"/>
    <w:rsid w:val="008B4F44"/>
    <w:rsid w:val="008C2166"/>
    <w:rsid w:val="008C2E96"/>
    <w:rsid w:val="008C5D45"/>
    <w:rsid w:val="008D1CB2"/>
    <w:rsid w:val="008D7A27"/>
    <w:rsid w:val="008E147C"/>
    <w:rsid w:val="008E3E6A"/>
    <w:rsid w:val="008F2D34"/>
    <w:rsid w:val="00905EBE"/>
    <w:rsid w:val="009077B7"/>
    <w:rsid w:val="00907EE1"/>
    <w:rsid w:val="00917695"/>
    <w:rsid w:val="00920B3D"/>
    <w:rsid w:val="00922F05"/>
    <w:rsid w:val="00923901"/>
    <w:rsid w:val="00930C59"/>
    <w:rsid w:val="00934DA8"/>
    <w:rsid w:val="00935C6C"/>
    <w:rsid w:val="00940A67"/>
    <w:rsid w:val="00943398"/>
    <w:rsid w:val="00944059"/>
    <w:rsid w:val="00944DCF"/>
    <w:rsid w:val="00951D92"/>
    <w:rsid w:val="00954314"/>
    <w:rsid w:val="0095505A"/>
    <w:rsid w:val="00955436"/>
    <w:rsid w:val="00957903"/>
    <w:rsid w:val="0096129A"/>
    <w:rsid w:val="009646FB"/>
    <w:rsid w:val="0097373E"/>
    <w:rsid w:val="009755FC"/>
    <w:rsid w:val="009769AF"/>
    <w:rsid w:val="00980FED"/>
    <w:rsid w:val="00981FEE"/>
    <w:rsid w:val="0098319A"/>
    <w:rsid w:val="0098472F"/>
    <w:rsid w:val="00984B15"/>
    <w:rsid w:val="0098572B"/>
    <w:rsid w:val="0098674C"/>
    <w:rsid w:val="00991FBC"/>
    <w:rsid w:val="00995FEA"/>
    <w:rsid w:val="00996A5B"/>
    <w:rsid w:val="009A1FCE"/>
    <w:rsid w:val="009A33C0"/>
    <w:rsid w:val="009B1C99"/>
    <w:rsid w:val="009B23D0"/>
    <w:rsid w:val="009B38F1"/>
    <w:rsid w:val="009B616B"/>
    <w:rsid w:val="009C0D2F"/>
    <w:rsid w:val="009C3101"/>
    <w:rsid w:val="009C4060"/>
    <w:rsid w:val="009C6D91"/>
    <w:rsid w:val="009D17DC"/>
    <w:rsid w:val="009D1C87"/>
    <w:rsid w:val="009D426F"/>
    <w:rsid w:val="009E5289"/>
    <w:rsid w:val="009E6125"/>
    <w:rsid w:val="009F27DC"/>
    <w:rsid w:val="009F3406"/>
    <w:rsid w:val="009F4206"/>
    <w:rsid w:val="009F5C24"/>
    <w:rsid w:val="009F7792"/>
    <w:rsid w:val="00A010D9"/>
    <w:rsid w:val="00A03ABC"/>
    <w:rsid w:val="00A04E21"/>
    <w:rsid w:val="00A1081C"/>
    <w:rsid w:val="00A16F00"/>
    <w:rsid w:val="00A21173"/>
    <w:rsid w:val="00A26CAB"/>
    <w:rsid w:val="00A32160"/>
    <w:rsid w:val="00A3501B"/>
    <w:rsid w:val="00A352E2"/>
    <w:rsid w:val="00A35D2C"/>
    <w:rsid w:val="00A36160"/>
    <w:rsid w:val="00A363C4"/>
    <w:rsid w:val="00A42A94"/>
    <w:rsid w:val="00A4485D"/>
    <w:rsid w:val="00A466FD"/>
    <w:rsid w:val="00A5157C"/>
    <w:rsid w:val="00A51E0C"/>
    <w:rsid w:val="00A533B2"/>
    <w:rsid w:val="00A576BC"/>
    <w:rsid w:val="00A60DF5"/>
    <w:rsid w:val="00A6261F"/>
    <w:rsid w:val="00A63F91"/>
    <w:rsid w:val="00A67818"/>
    <w:rsid w:val="00A70886"/>
    <w:rsid w:val="00A74719"/>
    <w:rsid w:val="00A76589"/>
    <w:rsid w:val="00A81CA0"/>
    <w:rsid w:val="00A81DC1"/>
    <w:rsid w:val="00A84C53"/>
    <w:rsid w:val="00A87CF1"/>
    <w:rsid w:val="00A90930"/>
    <w:rsid w:val="00AA03B7"/>
    <w:rsid w:val="00AA0AA1"/>
    <w:rsid w:val="00AA362E"/>
    <w:rsid w:val="00AA3AAF"/>
    <w:rsid w:val="00AA3CAE"/>
    <w:rsid w:val="00AB1268"/>
    <w:rsid w:val="00AB4345"/>
    <w:rsid w:val="00AB4565"/>
    <w:rsid w:val="00AC121A"/>
    <w:rsid w:val="00AC33F8"/>
    <w:rsid w:val="00AC5FCA"/>
    <w:rsid w:val="00AC748E"/>
    <w:rsid w:val="00AE5AC8"/>
    <w:rsid w:val="00AF10B7"/>
    <w:rsid w:val="00AF7E83"/>
    <w:rsid w:val="00B01C86"/>
    <w:rsid w:val="00B025EA"/>
    <w:rsid w:val="00B0336D"/>
    <w:rsid w:val="00B0378A"/>
    <w:rsid w:val="00B050E9"/>
    <w:rsid w:val="00B05520"/>
    <w:rsid w:val="00B071E7"/>
    <w:rsid w:val="00B07B62"/>
    <w:rsid w:val="00B07BDE"/>
    <w:rsid w:val="00B07E1D"/>
    <w:rsid w:val="00B11E4B"/>
    <w:rsid w:val="00B13B24"/>
    <w:rsid w:val="00B17FB6"/>
    <w:rsid w:val="00B21E8E"/>
    <w:rsid w:val="00B30198"/>
    <w:rsid w:val="00B345DA"/>
    <w:rsid w:val="00B34BFB"/>
    <w:rsid w:val="00B35BDA"/>
    <w:rsid w:val="00B4349F"/>
    <w:rsid w:val="00B440EA"/>
    <w:rsid w:val="00B45B3E"/>
    <w:rsid w:val="00B50C5F"/>
    <w:rsid w:val="00B54910"/>
    <w:rsid w:val="00B567A2"/>
    <w:rsid w:val="00B56C0B"/>
    <w:rsid w:val="00B61BF1"/>
    <w:rsid w:val="00B64DE6"/>
    <w:rsid w:val="00B65A2A"/>
    <w:rsid w:val="00B71CD8"/>
    <w:rsid w:val="00B82F9E"/>
    <w:rsid w:val="00B84172"/>
    <w:rsid w:val="00B959B6"/>
    <w:rsid w:val="00B97210"/>
    <w:rsid w:val="00BA0241"/>
    <w:rsid w:val="00BA1C9A"/>
    <w:rsid w:val="00BA4658"/>
    <w:rsid w:val="00BA4778"/>
    <w:rsid w:val="00BA4C42"/>
    <w:rsid w:val="00BA5B36"/>
    <w:rsid w:val="00BA7A5B"/>
    <w:rsid w:val="00BB3C7F"/>
    <w:rsid w:val="00BB3D7D"/>
    <w:rsid w:val="00BB4D4C"/>
    <w:rsid w:val="00BB770D"/>
    <w:rsid w:val="00BB7ACA"/>
    <w:rsid w:val="00BC2451"/>
    <w:rsid w:val="00BC30AE"/>
    <w:rsid w:val="00BC312A"/>
    <w:rsid w:val="00BC374F"/>
    <w:rsid w:val="00BC6103"/>
    <w:rsid w:val="00BC686B"/>
    <w:rsid w:val="00BD6589"/>
    <w:rsid w:val="00BE3388"/>
    <w:rsid w:val="00BE4F2B"/>
    <w:rsid w:val="00BF19BC"/>
    <w:rsid w:val="00BF1AA2"/>
    <w:rsid w:val="00BF4136"/>
    <w:rsid w:val="00BF4CE4"/>
    <w:rsid w:val="00BF7185"/>
    <w:rsid w:val="00C0183F"/>
    <w:rsid w:val="00C020EB"/>
    <w:rsid w:val="00C06F20"/>
    <w:rsid w:val="00C110F9"/>
    <w:rsid w:val="00C11619"/>
    <w:rsid w:val="00C173B6"/>
    <w:rsid w:val="00C21DE7"/>
    <w:rsid w:val="00C27191"/>
    <w:rsid w:val="00C27346"/>
    <w:rsid w:val="00C27544"/>
    <w:rsid w:val="00C2776E"/>
    <w:rsid w:val="00C27B35"/>
    <w:rsid w:val="00C31B56"/>
    <w:rsid w:val="00C32B30"/>
    <w:rsid w:val="00C348D8"/>
    <w:rsid w:val="00C354FA"/>
    <w:rsid w:val="00C453D0"/>
    <w:rsid w:val="00C477BC"/>
    <w:rsid w:val="00C502EA"/>
    <w:rsid w:val="00C525C7"/>
    <w:rsid w:val="00C5303A"/>
    <w:rsid w:val="00C612AC"/>
    <w:rsid w:val="00C81BCC"/>
    <w:rsid w:val="00C84168"/>
    <w:rsid w:val="00C85A0E"/>
    <w:rsid w:val="00C85F18"/>
    <w:rsid w:val="00C86C27"/>
    <w:rsid w:val="00C90337"/>
    <w:rsid w:val="00C92E11"/>
    <w:rsid w:val="00CA0179"/>
    <w:rsid w:val="00CA046B"/>
    <w:rsid w:val="00CA1893"/>
    <w:rsid w:val="00CA1BFD"/>
    <w:rsid w:val="00CA1EDA"/>
    <w:rsid w:val="00CB0E36"/>
    <w:rsid w:val="00CB0EFB"/>
    <w:rsid w:val="00CB2E74"/>
    <w:rsid w:val="00CB5B28"/>
    <w:rsid w:val="00CB7912"/>
    <w:rsid w:val="00CC1745"/>
    <w:rsid w:val="00CD19C7"/>
    <w:rsid w:val="00CD65E1"/>
    <w:rsid w:val="00CD6D59"/>
    <w:rsid w:val="00CE1F10"/>
    <w:rsid w:val="00CF1DA5"/>
    <w:rsid w:val="00CF5FAC"/>
    <w:rsid w:val="00CF62D3"/>
    <w:rsid w:val="00CF698E"/>
    <w:rsid w:val="00D16ECD"/>
    <w:rsid w:val="00D26B89"/>
    <w:rsid w:val="00D30511"/>
    <w:rsid w:val="00D440DB"/>
    <w:rsid w:val="00D50EAD"/>
    <w:rsid w:val="00D50FEE"/>
    <w:rsid w:val="00D517F5"/>
    <w:rsid w:val="00D547BC"/>
    <w:rsid w:val="00D66FF5"/>
    <w:rsid w:val="00D741D2"/>
    <w:rsid w:val="00D7474E"/>
    <w:rsid w:val="00D74A54"/>
    <w:rsid w:val="00D82355"/>
    <w:rsid w:val="00D85ED5"/>
    <w:rsid w:val="00D934F5"/>
    <w:rsid w:val="00D9380A"/>
    <w:rsid w:val="00D94C46"/>
    <w:rsid w:val="00D9516A"/>
    <w:rsid w:val="00DA3093"/>
    <w:rsid w:val="00DB1229"/>
    <w:rsid w:val="00DB1B95"/>
    <w:rsid w:val="00DB58C2"/>
    <w:rsid w:val="00DC03E3"/>
    <w:rsid w:val="00DC4D3C"/>
    <w:rsid w:val="00DC6CDF"/>
    <w:rsid w:val="00DC723D"/>
    <w:rsid w:val="00DC7C1A"/>
    <w:rsid w:val="00DD4E55"/>
    <w:rsid w:val="00DE291F"/>
    <w:rsid w:val="00DE7E1D"/>
    <w:rsid w:val="00DF26F2"/>
    <w:rsid w:val="00DF64B9"/>
    <w:rsid w:val="00DF6770"/>
    <w:rsid w:val="00DF7097"/>
    <w:rsid w:val="00E01E60"/>
    <w:rsid w:val="00E03031"/>
    <w:rsid w:val="00E05115"/>
    <w:rsid w:val="00E05122"/>
    <w:rsid w:val="00E13FC5"/>
    <w:rsid w:val="00E1495F"/>
    <w:rsid w:val="00E2214C"/>
    <w:rsid w:val="00E31AB2"/>
    <w:rsid w:val="00E33C53"/>
    <w:rsid w:val="00E340B9"/>
    <w:rsid w:val="00E341EA"/>
    <w:rsid w:val="00E41618"/>
    <w:rsid w:val="00E41B96"/>
    <w:rsid w:val="00E423F2"/>
    <w:rsid w:val="00E43B61"/>
    <w:rsid w:val="00E46389"/>
    <w:rsid w:val="00E5017E"/>
    <w:rsid w:val="00E5028F"/>
    <w:rsid w:val="00E52D3D"/>
    <w:rsid w:val="00E55455"/>
    <w:rsid w:val="00E56F49"/>
    <w:rsid w:val="00E62C45"/>
    <w:rsid w:val="00E66077"/>
    <w:rsid w:val="00E703E3"/>
    <w:rsid w:val="00E71AB3"/>
    <w:rsid w:val="00E83E30"/>
    <w:rsid w:val="00E84418"/>
    <w:rsid w:val="00E845A5"/>
    <w:rsid w:val="00E84E8C"/>
    <w:rsid w:val="00E86306"/>
    <w:rsid w:val="00E86B6D"/>
    <w:rsid w:val="00E87594"/>
    <w:rsid w:val="00E90488"/>
    <w:rsid w:val="00E91779"/>
    <w:rsid w:val="00E93718"/>
    <w:rsid w:val="00E9624A"/>
    <w:rsid w:val="00E964C1"/>
    <w:rsid w:val="00EA00E1"/>
    <w:rsid w:val="00EA3DA3"/>
    <w:rsid w:val="00EA56A9"/>
    <w:rsid w:val="00EB4B58"/>
    <w:rsid w:val="00EC14B0"/>
    <w:rsid w:val="00EC4698"/>
    <w:rsid w:val="00EC517C"/>
    <w:rsid w:val="00EC6B50"/>
    <w:rsid w:val="00ED37BC"/>
    <w:rsid w:val="00ED3897"/>
    <w:rsid w:val="00ED76A5"/>
    <w:rsid w:val="00EE47F2"/>
    <w:rsid w:val="00EF0232"/>
    <w:rsid w:val="00EF79B1"/>
    <w:rsid w:val="00F026A8"/>
    <w:rsid w:val="00F02B2D"/>
    <w:rsid w:val="00F07D16"/>
    <w:rsid w:val="00F12689"/>
    <w:rsid w:val="00F15478"/>
    <w:rsid w:val="00F2313A"/>
    <w:rsid w:val="00F25403"/>
    <w:rsid w:val="00F27D2D"/>
    <w:rsid w:val="00F27F08"/>
    <w:rsid w:val="00F31210"/>
    <w:rsid w:val="00F320DD"/>
    <w:rsid w:val="00F34287"/>
    <w:rsid w:val="00F3758B"/>
    <w:rsid w:val="00F37A77"/>
    <w:rsid w:val="00F40C54"/>
    <w:rsid w:val="00F463F7"/>
    <w:rsid w:val="00F477FB"/>
    <w:rsid w:val="00F5201C"/>
    <w:rsid w:val="00F5725C"/>
    <w:rsid w:val="00F6173C"/>
    <w:rsid w:val="00F61B32"/>
    <w:rsid w:val="00F61DD8"/>
    <w:rsid w:val="00F64CB6"/>
    <w:rsid w:val="00F76E57"/>
    <w:rsid w:val="00F83E7F"/>
    <w:rsid w:val="00F8502A"/>
    <w:rsid w:val="00F87540"/>
    <w:rsid w:val="00F91227"/>
    <w:rsid w:val="00FA68B7"/>
    <w:rsid w:val="00FA7736"/>
    <w:rsid w:val="00FB0A7C"/>
    <w:rsid w:val="00FB4DB9"/>
    <w:rsid w:val="00FB55AD"/>
    <w:rsid w:val="00FC5326"/>
    <w:rsid w:val="00FD25CD"/>
    <w:rsid w:val="00FD4023"/>
    <w:rsid w:val="00FD6833"/>
    <w:rsid w:val="00FE315C"/>
    <w:rsid w:val="00FE58E4"/>
    <w:rsid w:val="00FF0258"/>
    <w:rsid w:val="00FF2773"/>
    <w:rsid w:val="00FF336C"/>
    <w:rsid w:val="00FF526C"/>
    <w:rsid w:val="00FF60BF"/>
    <w:rsid w:val="00FF6EE2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9AC5D"/>
  <w15:chartTrackingRefBased/>
  <w15:docId w15:val="{2EFB89E9-403A-4F02-82DA-E109631E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7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15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A6D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D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D1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D17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CB2E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eformationroom.com/single-post/2017/07/29/Where-Luther-Walked-5-Wittenbe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hereformationroom.com/single-post/2017/07/29/Where-Luther-Walked-5-Wittenbe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7A95E73-9199-4F56-AA3E-AB702F81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8</Pages>
  <Words>2281</Words>
  <Characters>13028</Characters>
  <Application>Microsoft Office Word</Application>
  <DocSecurity>0</DocSecurity>
  <Lines>183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Mcmillan</dc:creator>
  <cp:keywords/>
  <dc:description/>
  <cp:lastModifiedBy>Shannon Mcmillan</cp:lastModifiedBy>
  <cp:revision>731</cp:revision>
  <dcterms:created xsi:type="dcterms:W3CDTF">2022-03-28T19:39:00Z</dcterms:created>
  <dcterms:modified xsi:type="dcterms:W3CDTF">2022-05-24T19:08:00Z</dcterms:modified>
</cp:coreProperties>
</file>