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2850A" w14:textId="77777777" w:rsidR="008E0F06" w:rsidRDefault="000C49D7">
      <w:pPr>
        <w:rPr>
          <w:b/>
          <w:bCs/>
          <w:sz w:val="24"/>
          <w:szCs w:val="24"/>
        </w:rPr>
      </w:pPr>
      <w:r w:rsidRPr="00460E27">
        <w:rPr>
          <w:b/>
          <w:bCs/>
          <w:sz w:val="24"/>
          <w:szCs w:val="24"/>
        </w:rPr>
        <w:t>HM5402 Victorian Values</w:t>
      </w:r>
      <w:r w:rsidR="008E0F06">
        <w:rPr>
          <w:b/>
          <w:bCs/>
          <w:sz w:val="24"/>
          <w:szCs w:val="24"/>
        </w:rPr>
        <w:t xml:space="preserve"> </w:t>
      </w:r>
    </w:p>
    <w:p w14:paraId="7D01149A" w14:textId="5719D238" w:rsidR="009B67C6" w:rsidRPr="00460E27" w:rsidRDefault="009B67C6">
      <w:pPr>
        <w:rPr>
          <w:b/>
          <w:bCs/>
          <w:sz w:val="24"/>
          <w:szCs w:val="24"/>
        </w:rPr>
      </w:pPr>
      <w:r w:rsidRPr="00460E27">
        <w:rPr>
          <w:b/>
          <w:bCs/>
          <w:sz w:val="24"/>
          <w:szCs w:val="24"/>
        </w:rPr>
        <w:t>Shannon Mcmillan</w:t>
      </w:r>
    </w:p>
    <w:p w14:paraId="3C5F2815" w14:textId="6B0708A3" w:rsidR="000C49D7" w:rsidRPr="00460E27" w:rsidRDefault="00C123FA">
      <w:pPr>
        <w:rPr>
          <w:b/>
          <w:bCs/>
          <w:sz w:val="24"/>
          <w:szCs w:val="24"/>
        </w:rPr>
      </w:pPr>
      <w:r w:rsidRPr="00460E27">
        <w:rPr>
          <w:b/>
          <w:bCs/>
          <w:sz w:val="24"/>
          <w:szCs w:val="24"/>
        </w:rPr>
        <w:t xml:space="preserve"> </w:t>
      </w:r>
    </w:p>
    <w:p w14:paraId="009D6835" w14:textId="0FBEA8A5" w:rsidR="00BF7F1E" w:rsidRPr="00460E27" w:rsidRDefault="003D092F" w:rsidP="00EF285A">
      <w:pPr>
        <w:rPr>
          <w:b/>
          <w:bCs/>
          <w:sz w:val="24"/>
          <w:szCs w:val="24"/>
        </w:rPr>
      </w:pPr>
      <w:r w:rsidRPr="00460E27">
        <w:rPr>
          <w:b/>
          <w:bCs/>
          <w:sz w:val="24"/>
          <w:szCs w:val="24"/>
        </w:rPr>
        <w:t>Robert Southey, Letters from England (1808)</w:t>
      </w:r>
      <w:r w:rsidR="00C123FA" w:rsidRPr="00460E27">
        <w:rPr>
          <w:b/>
          <w:bCs/>
          <w:sz w:val="24"/>
          <w:szCs w:val="24"/>
        </w:rPr>
        <w:t xml:space="preserve"> </w:t>
      </w:r>
    </w:p>
    <w:p w14:paraId="6A91C29C" w14:textId="653FD982" w:rsidR="00470F5C" w:rsidRPr="00404B22" w:rsidRDefault="004F087D" w:rsidP="007D238E">
      <w:pPr>
        <w:spacing w:line="480" w:lineRule="auto"/>
        <w:rPr>
          <w:sz w:val="24"/>
          <w:szCs w:val="24"/>
        </w:rPr>
      </w:pPr>
      <w:r w:rsidRPr="00404B22">
        <w:rPr>
          <w:sz w:val="24"/>
          <w:szCs w:val="24"/>
        </w:rPr>
        <w:t xml:space="preserve">Within this extract, Southey describes the </w:t>
      </w:r>
      <w:r w:rsidR="00E438B2" w:rsidRPr="00404B22">
        <w:rPr>
          <w:sz w:val="24"/>
          <w:szCs w:val="24"/>
        </w:rPr>
        <w:t>pollution</w:t>
      </w:r>
      <w:r w:rsidR="000350BA" w:rsidRPr="00404B22">
        <w:rPr>
          <w:sz w:val="24"/>
          <w:szCs w:val="24"/>
        </w:rPr>
        <w:t xml:space="preserve">, </w:t>
      </w:r>
      <w:r w:rsidR="00E438B2" w:rsidRPr="00404B22">
        <w:rPr>
          <w:sz w:val="24"/>
          <w:szCs w:val="24"/>
        </w:rPr>
        <w:t xml:space="preserve">dirt, and din </w:t>
      </w:r>
      <w:r w:rsidR="00C31154" w:rsidRPr="00404B22">
        <w:rPr>
          <w:sz w:val="24"/>
          <w:szCs w:val="24"/>
        </w:rPr>
        <w:t>in th</w:t>
      </w:r>
      <w:r w:rsidR="00AA2F5D" w:rsidRPr="00404B22">
        <w:rPr>
          <w:sz w:val="24"/>
          <w:szCs w:val="24"/>
        </w:rPr>
        <w:t>e Victorian city of Birmingham and how t</w:t>
      </w:r>
      <w:r w:rsidR="00CA42DC" w:rsidRPr="00404B22">
        <w:rPr>
          <w:sz w:val="24"/>
          <w:szCs w:val="24"/>
        </w:rPr>
        <w:t xml:space="preserve">his </w:t>
      </w:r>
      <w:r w:rsidR="00AA2F5D" w:rsidRPr="00404B22">
        <w:rPr>
          <w:sz w:val="24"/>
          <w:szCs w:val="24"/>
        </w:rPr>
        <w:t>environment from industrialisation effects people’s health</w:t>
      </w:r>
      <w:r w:rsidR="00CA42DC" w:rsidRPr="00404B22">
        <w:rPr>
          <w:sz w:val="24"/>
          <w:szCs w:val="24"/>
        </w:rPr>
        <w:t xml:space="preserve"> and the dehumanising </w:t>
      </w:r>
      <w:r w:rsidR="00A7142E" w:rsidRPr="00404B22">
        <w:rPr>
          <w:sz w:val="24"/>
          <w:szCs w:val="24"/>
        </w:rPr>
        <w:t>effect of mass production in the 1800s</w:t>
      </w:r>
      <w:r w:rsidR="007D238E" w:rsidRPr="00404B22">
        <w:rPr>
          <w:sz w:val="24"/>
          <w:szCs w:val="24"/>
        </w:rPr>
        <w:t>.</w:t>
      </w:r>
      <w:r w:rsidR="00A7142E" w:rsidRPr="00404B22">
        <w:rPr>
          <w:sz w:val="24"/>
          <w:szCs w:val="24"/>
        </w:rPr>
        <w:t xml:space="preserve"> </w:t>
      </w:r>
      <w:r w:rsidR="001442B5" w:rsidRPr="00404B22">
        <w:rPr>
          <w:sz w:val="24"/>
          <w:szCs w:val="24"/>
        </w:rPr>
        <w:t xml:space="preserve">Tristram Hunt mentions </w:t>
      </w:r>
      <w:r w:rsidR="007D59B8" w:rsidRPr="00404B22">
        <w:rPr>
          <w:sz w:val="24"/>
          <w:szCs w:val="24"/>
        </w:rPr>
        <w:t>the ‘rotten, rat-haunted buildings’</w:t>
      </w:r>
      <w:r w:rsidR="00797226" w:rsidRPr="00404B22">
        <w:rPr>
          <w:rStyle w:val="FootnoteReference"/>
          <w:sz w:val="24"/>
          <w:szCs w:val="24"/>
        </w:rPr>
        <w:footnoteReference w:id="1"/>
      </w:r>
      <w:r w:rsidR="007D59B8" w:rsidRPr="00404B22">
        <w:rPr>
          <w:sz w:val="24"/>
          <w:szCs w:val="24"/>
        </w:rPr>
        <w:t xml:space="preserve"> of </w:t>
      </w:r>
      <w:r w:rsidR="002B0F78" w:rsidRPr="00404B22">
        <w:rPr>
          <w:sz w:val="24"/>
          <w:szCs w:val="24"/>
        </w:rPr>
        <w:t>Edinburgh</w:t>
      </w:r>
      <w:r w:rsidR="00775764" w:rsidRPr="00404B22">
        <w:rPr>
          <w:sz w:val="24"/>
          <w:szCs w:val="24"/>
        </w:rPr>
        <w:t xml:space="preserve"> which may have developed due to ‘high density housing</w:t>
      </w:r>
      <w:r w:rsidR="007E7A43" w:rsidRPr="00404B22">
        <w:rPr>
          <w:sz w:val="24"/>
          <w:szCs w:val="24"/>
        </w:rPr>
        <w:t xml:space="preserve"> </w:t>
      </w:r>
      <w:r w:rsidR="004A20A6" w:rsidRPr="00404B22">
        <w:rPr>
          <w:sz w:val="24"/>
          <w:szCs w:val="24"/>
        </w:rPr>
        <w:t>[</w:t>
      </w:r>
      <w:r w:rsidR="00797226" w:rsidRPr="00404B22">
        <w:rPr>
          <w:sz w:val="24"/>
          <w:szCs w:val="24"/>
        </w:rPr>
        <w:t xml:space="preserve">which </w:t>
      </w:r>
      <w:r w:rsidR="004A20A6" w:rsidRPr="00404B22">
        <w:rPr>
          <w:sz w:val="24"/>
          <w:szCs w:val="24"/>
        </w:rPr>
        <w:t xml:space="preserve">was deemed </w:t>
      </w:r>
      <w:r w:rsidR="00797226" w:rsidRPr="00404B22">
        <w:rPr>
          <w:sz w:val="24"/>
          <w:szCs w:val="24"/>
        </w:rPr>
        <w:t xml:space="preserve">to be </w:t>
      </w:r>
      <w:r w:rsidR="004A20A6" w:rsidRPr="00404B22">
        <w:rPr>
          <w:sz w:val="24"/>
          <w:szCs w:val="24"/>
        </w:rPr>
        <w:t xml:space="preserve">the cause of] fostering dirt, </w:t>
      </w:r>
      <w:r w:rsidR="00C80619" w:rsidRPr="00404B22">
        <w:rPr>
          <w:sz w:val="24"/>
          <w:szCs w:val="24"/>
        </w:rPr>
        <w:t>[and] disease’</w:t>
      </w:r>
      <w:r w:rsidR="002E1B3A" w:rsidRPr="00404B22">
        <w:rPr>
          <w:rStyle w:val="FootnoteReference"/>
          <w:sz w:val="24"/>
          <w:szCs w:val="24"/>
        </w:rPr>
        <w:footnoteReference w:id="2"/>
      </w:r>
      <w:r w:rsidR="007D45A8" w:rsidRPr="00404B22">
        <w:rPr>
          <w:sz w:val="24"/>
          <w:szCs w:val="24"/>
        </w:rPr>
        <w:t xml:space="preserve">, often </w:t>
      </w:r>
      <w:r w:rsidR="00E94182" w:rsidRPr="00404B22">
        <w:rPr>
          <w:sz w:val="24"/>
          <w:szCs w:val="24"/>
        </w:rPr>
        <w:t>‘i</w:t>
      </w:r>
      <w:r w:rsidR="007D45A8" w:rsidRPr="00404B22">
        <w:rPr>
          <w:sz w:val="24"/>
          <w:szCs w:val="24"/>
        </w:rPr>
        <w:t>ll s</w:t>
      </w:r>
      <w:r w:rsidR="00E94182" w:rsidRPr="00404B22">
        <w:rPr>
          <w:sz w:val="24"/>
          <w:szCs w:val="24"/>
        </w:rPr>
        <w:t>oughed, [and] ill ventilated’</w:t>
      </w:r>
      <w:r w:rsidR="00E94182" w:rsidRPr="00404B22">
        <w:rPr>
          <w:rStyle w:val="FootnoteReference"/>
          <w:sz w:val="24"/>
          <w:szCs w:val="24"/>
        </w:rPr>
        <w:footnoteReference w:id="3"/>
      </w:r>
      <w:r w:rsidR="002E1B3A" w:rsidRPr="00404B22">
        <w:rPr>
          <w:sz w:val="24"/>
          <w:szCs w:val="24"/>
        </w:rPr>
        <w:t xml:space="preserve">. </w:t>
      </w:r>
      <w:r w:rsidR="00D24B82" w:rsidRPr="00404B22">
        <w:rPr>
          <w:sz w:val="24"/>
          <w:szCs w:val="24"/>
        </w:rPr>
        <w:t>Th</w:t>
      </w:r>
      <w:r w:rsidR="00955537" w:rsidRPr="00404B22">
        <w:rPr>
          <w:sz w:val="24"/>
          <w:szCs w:val="24"/>
        </w:rPr>
        <w:t xml:space="preserve">is description allows understanding of the impact these cities had on the health of </w:t>
      </w:r>
      <w:r w:rsidR="004E534C" w:rsidRPr="00404B22">
        <w:rPr>
          <w:sz w:val="24"/>
          <w:szCs w:val="24"/>
        </w:rPr>
        <w:t>the people of England and the need for workers on the rise due to this hou</w:t>
      </w:r>
      <w:r w:rsidR="00C0280A" w:rsidRPr="00404B22">
        <w:rPr>
          <w:sz w:val="24"/>
          <w:szCs w:val="24"/>
        </w:rPr>
        <w:t>s</w:t>
      </w:r>
      <w:r w:rsidR="004E534C" w:rsidRPr="00404B22">
        <w:rPr>
          <w:sz w:val="24"/>
          <w:szCs w:val="24"/>
        </w:rPr>
        <w:t>ing crisis</w:t>
      </w:r>
      <w:r w:rsidR="00C0280A" w:rsidRPr="00404B22">
        <w:rPr>
          <w:sz w:val="24"/>
          <w:szCs w:val="24"/>
        </w:rPr>
        <w:t>, with cities not keeping up with the demand</w:t>
      </w:r>
      <w:r w:rsidR="00784180" w:rsidRPr="00404B22">
        <w:rPr>
          <w:sz w:val="24"/>
          <w:szCs w:val="24"/>
        </w:rPr>
        <w:t xml:space="preserve"> </w:t>
      </w:r>
      <w:r w:rsidR="00E6799F" w:rsidRPr="00404B22">
        <w:rPr>
          <w:sz w:val="24"/>
          <w:szCs w:val="24"/>
        </w:rPr>
        <w:t>of this new economic and production boom.</w:t>
      </w:r>
      <w:r w:rsidR="004E534C" w:rsidRPr="00404B22">
        <w:rPr>
          <w:sz w:val="24"/>
          <w:szCs w:val="24"/>
        </w:rPr>
        <w:t xml:space="preserve"> </w:t>
      </w:r>
      <w:r w:rsidR="00FD4140" w:rsidRPr="00404B22">
        <w:rPr>
          <w:sz w:val="24"/>
          <w:szCs w:val="24"/>
        </w:rPr>
        <w:t xml:space="preserve">This </w:t>
      </w:r>
      <w:r w:rsidR="005D1293" w:rsidRPr="00404B22">
        <w:rPr>
          <w:sz w:val="24"/>
          <w:szCs w:val="24"/>
        </w:rPr>
        <w:t>need for workers created a system where the ‘machines throbbed and wirred ceaselessly’</w:t>
      </w:r>
      <w:r w:rsidR="007611ED" w:rsidRPr="00404B22">
        <w:rPr>
          <w:rStyle w:val="FootnoteReference"/>
          <w:sz w:val="24"/>
          <w:szCs w:val="24"/>
        </w:rPr>
        <w:footnoteReference w:id="4"/>
      </w:r>
      <w:r w:rsidR="00FD2999" w:rsidRPr="00404B22">
        <w:rPr>
          <w:sz w:val="24"/>
          <w:szCs w:val="24"/>
        </w:rPr>
        <w:t xml:space="preserve">, </w:t>
      </w:r>
      <w:r w:rsidR="00AC4C7B" w:rsidRPr="00404B22">
        <w:rPr>
          <w:sz w:val="24"/>
          <w:szCs w:val="24"/>
        </w:rPr>
        <w:t>which ‘destroys the intensity and flow of a man’s animal spirits’</w:t>
      </w:r>
      <w:r w:rsidR="00AC4C7B" w:rsidRPr="00404B22">
        <w:rPr>
          <w:rStyle w:val="FootnoteReference"/>
          <w:sz w:val="24"/>
          <w:szCs w:val="24"/>
        </w:rPr>
        <w:footnoteReference w:id="5"/>
      </w:r>
      <w:r w:rsidR="00FC3865" w:rsidRPr="00404B22">
        <w:rPr>
          <w:sz w:val="24"/>
          <w:szCs w:val="24"/>
        </w:rPr>
        <w:t xml:space="preserve">. This </w:t>
      </w:r>
      <w:r w:rsidR="00A82A5A" w:rsidRPr="00404B22">
        <w:rPr>
          <w:sz w:val="24"/>
          <w:szCs w:val="24"/>
        </w:rPr>
        <w:t>suggests that industrialisation both helped and hindered Victorian cities, as this increase in production created a drive to strengthen British economy and ‘make economic growth a priority’</w:t>
      </w:r>
      <w:r w:rsidR="00DC3650" w:rsidRPr="00404B22">
        <w:rPr>
          <w:rStyle w:val="FootnoteReference"/>
          <w:sz w:val="24"/>
          <w:szCs w:val="24"/>
        </w:rPr>
        <w:footnoteReference w:id="6"/>
      </w:r>
      <w:r w:rsidR="00A82A5A" w:rsidRPr="00404B22">
        <w:rPr>
          <w:sz w:val="24"/>
          <w:szCs w:val="24"/>
        </w:rPr>
        <w:t>.</w:t>
      </w:r>
    </w:p>
    <w:p w14:paraId="5F402F5F" w14:textId="77777777" w:rsidR="00470F5C" w:rsidRPr="00404B22" w:rsidRDefault="00470F5C" w:rsidP="007D238E">
      <w:pPr>
        <w:spacing w:line="480" w:lineRule="auto"/>
        <w:rPr>
          <w:sz w:val="24"/>
          <w:szCs w:val="24"/>
        </w:rPr>
      </w:pPr>
    </w:p>
    <w:p w14:paraId="1AE9C3A1" w14:textId="4798D22A" w:rsidR="004313A2" w:rsidRPr="00404B22" w:rsidRDefault="00A82A5A" w:rsidP="00BE0209">
      <w:pPr>
        <w:spacing w:line="480" w:lineRule="auto"/>
        <w:rPr>
          <w:sz w:val="24"/>
          <w:szCs w:val="24"/>
        </w:rPr>
      </w:pPr>
      <w:r w:rsidRPr="00404B22">
        <w:rPr>
          <w:sz w:val="24"/>
          <w:szCs w:val="24"/>
        </w:rPr>
        <w:t>F</w:t>
      </w:r>
      <w:r w:rsidR="006360A1" w:rsidRPr="00404B22">
        <w:rPr>
          <w:sz w:val="24"/>
          <w:szCs w:val="24"/>
        </w:rPr>
        <w:t>actories and workhouses damaged the population’s health with these products being purchased and produced “at the expense of health and morality” as workers became the “two-legged beast of labour”</w:t>
      </w:r>
      <w:r w:rsidR="004C5D94" w:rsidRPr="00404B22">
        <w:rPr>
          <w:sz w:val="24"/>
          <w:szCs w:val="24"/>
        </w:rPr>
        <w:t>, highlighting the worker’s expendability</w:t>
      </w:r>
      <w:r w:rsidR="004E3EE6" w:rsidRPr="00404B22">
        <w:rPr>
          <w:sz w:val="24"/>
          <w:szCs w:val="24"/>
        </w:rPr>
        <w:t xml:space="preserve"> and lack of specialised work within these factories</w:t>
      </w:r>
      <w:r w:rsidR="006360A1" w:rsidRPr="00404B22">
        <w:rPr>
          <w:sz w:val="24"/>
          <w:szCs w:val="24"/>
        </w:rPr>
        <w:t>. Working conditions caused the factory workers to smell of “train oil and emery” and have “red eyes</w:t>
      </w:r>
      <w:proofErr w:type="gramStart"/>
      <w:r w:rsidR="006360A1" w:rsidRPr="00404B22">
        <w:rPr>
          <w:sz w:val="24"/>
          <w:szCs w:val="24"/>
        </w:rPr>
        <w:t>…[</w:t>
      </w:r>
      <w:proofErr w:type="gramEnd"/>
      <w:r w:rsidR="006360A1" w:rsidRPr="00404B22">
        <w:rPr>
          <w:sz w:val="24"/>
          <w:szCs w:val="24"/>
        </w:rPr>
        <w:t>caused by] the fires…and the</w:t>
      </w:r>
      <w:r w:rsidR="00550E84" w:rsidRPr="00404B22">
        <w:rPr>
          <w:sz w:val="24"/>
          <w:szCs w:val="24"/>
        </w:rPr>
        <w:t>ir</w:t>
      </w:r>
      <w:r w:rsidR="006360A1" w:rsidRPr="00404B22">
        <w:rPr>
          <w:sz w:val="24"/>
          <w:szCs w:val="24"/>
        </w:rPr>
        <w:t xml:space="preserve"> hair turned green by the brass works.” W</w:t>
      </w:r>
      <w:r w:rsidR="00453988" w:rsidRPr="00404B22">
        <w:rPr>
          <w:sz w:val="24"/>
          <w:szCs w:val="24"/>
        </w:rPr>
        <w:t xml:space="preserve">ith focus on the quantity </w:t>
      </w:r>
      <w:r w:rsidR="006904BF" w:rsidRPr="00404B22">
        <w:rPr>
          <w:sz w:val="24"/>
          <w:szCs w:val="24"/>
        </w:rPr>
        <w:t xml:space="preserve">of </w:t>
      </w:r>
      <w:r w:rsidR="008C2917" w:rsidRPr="00404B22">
        <w:rPr>
          <w:sz w:val="24"/>
          <w:szCs w:val="24"/>
        </w:rPr>
        <w:t>production</w:t>
      </w:r>
      <w:r w:rsidR="00E403F4" w:rsidRPr="00404B22">
        <w:rPr>
          <w:sz w:val="24"/>
          <w:szCs w:val="24"/>
        </w:rPr>
        <w:t xml:space="preserve">, </w:t>
      </w:r>
      <w:r w:rsidR="00476F81" w:rsidRPr="00404B22">
        <w:rPr>
          <w:sz w:val="24"/>
          <w:szCs w:val="24"/>
        </w:rPr>
        <w:t xml:space="preserve">as a display of </w:t>
      </w:r>
      <w:r w:rsidR="005F7624" w:rsidRPr="00404B22">
        <w:rPr>
          <w:sz w:val="24"/>
          <w:szCs w:val="24"/>
        </w:rPr>
        <w:t>“</w:t>
      </w:r>
      <w:r w:rsidR="00476F81" w:rsidRPr="00404B22">
        <w:rPr>
          <w:sz w:val="24"/>
          <w:szCs w:val="24"/>
        </w:rPr>
        <w:t>human ingenuity</w:t>
      </w:r>
      <w:r w:rsidR="00BE2D2F" w:rsidRPr="00404B22">
        <w:rPr>
          <w:sz w:val="24"/>
          <w:szCs w:val="24"/>
        </w:rPr>
        <w:t xml:space="preserve"> [for] </w:t>
      </w:r>
      <w:r w:rsidR="00476F81" w:rsidRPr="00404B22">
        <w:rPr>
          <w:sz w:val="24"/>
          <w:szCs w:val="24"/>
        </w:rPr>
        <w:t>watch chains, necklaces, arid bracelets, buttons,</w:t>
      </w:r>
      <w:r w:rsidR="003F1692" w:rsidRPr="00404B22">
        <w:rPr>
          <w:sz w:val="24"/>
          <w:szCs w:val="24"/>
        </w:rPr>
        <w:t xml:space="preserve"> buckles, and snuff boxes</w:t>
      </w:r>
      <w:r w:rsidR="005F7624" w:rsidRPr="00404B22">
        <w:rPr>
          <w:sz w:val="24"/>
          <w:szCs w:val="24"/>
        </w:rPr>
        <w:t>”</w:t>
      </w:r>
      <w:r w:rsidR="00AF41DC" w:rsidRPr="00404B22">
        <w:rPr>
          <w:sz w:val="24"/>
          <w:szCs w:val="24"/>
        </w:rPr>
        <w:t>,</w:t>
      </w:r>
      <w:r w:rsidR="00C9379A" w:rsidRPr="00404B22">
        <w:rPr>
          <w:sz w:val="24"/>
          <w:szCs w:val="24"/>
        </w:rPr>
        <w:t xml:space="preserve"> this </w:t>
      </w:r>
      <w:r w:rsidR="005A3302" w:rsidRPr="00404B22">
        <w:rPr>
          <w:sz w:val="24"/>
          <w:szCs w:val="24"/>
        </w:rPr>
        <w:t xml:space="preserve">reinforces the notion that </w:t>
      </w:r>
      <w:r w:rsidRPr="00404B22">
        <w:rPr>
          <w:sz w:val="24"/>
          <w:szCs w:val="24"/>
        </w:rPr>
        <w:t xml:space="preserve">economic prosperity is prioritised over the workers as </w:t>
      </w:r>
      <w:r w:rsidR="005A3302" w:rsidRPr="00404B22">
        <w:rPr>
          <w:sz w:val="24"/>
          <w:szCs w:val="24"/>
        </w:rPr>
        <w:t xml:space="preserve">there </w:t>
      </w:r>
      <w:r w:rsidRPr="00404B22">
        <w:rPr>
          <w:sz w:val="24"/>
          <w:szCs w:val="24"/>
        </w:rPr>
        <w:t>we</w:t>
      </w:r>
      <w:r w:rsidR="005A3302" w:rsidRPr="00404B22">
        <w:rPr>
          <w:sz w:val="24"/>
          <w:szCs w:val="24"/>
        </w:rPr>
        <w:t xml:space="preserve">re </w:t>
      </w:r>
      <w:r w:rsidR="005A3302" w:rsidRPr="00404B22">
        <w:rPr>
          <w:sz w:val="24"/>
          <w:szCs w:val="24"/>
        </w:rPr>
        <w:lastRenderedPageBreak/>
        <w:t xml:space="preserve">“no returns if </w:t>
      </w:r>
      <w:r w:rsidR="00BC5DEC" w:rsidRPr="00404B22">
        <w:rPr>
          <w:sz w:val="24"/>
          <w:szCs w:val="24"/>
        </w:rPr>
        <w:t>its killed and wounded”</w:t>
      </w:r>
      <w:r w:rsidR="0095118A" w:rsidRPr="00404B22">
        <w:rPr>
          <w:sz w:val="24"/>
          <w:szCs w:val="24"/>
        </w:rPr>
        <w:t xml:space="preserve">. </w:t>
      </w:r>
      <w:r w:rsidR="00BC5DEC" w:rsidRPr="00404B22">
        <w:rPr>
          <w:sz w:val="24"/>
          <w:szCs w:val="24"/>
        </w:rPr>
        <w:t>Use of the pronoun “its” dehumanises and trivialises the lives of the workers, and th</w:t>
      </w:r>
      <w:r w:rsidR="00583CC0" w:rsidRPr="00404B22">
        <w:rPr>
          <w:sz w:val="24"/>
          <w:szCs w:val="24"/>
        </w:rPr>
        <w:t xml:space="preserve">eir expendability in the eyes of society, </w:t>
      </w:r>
      <w:r w:rsidR="0095118A" w:rsidRPr="00404B22">
        <w:rPr>
          <w:sz w:val="24"/>
          <w:szCs w:val="24"/>
        </w:rPr>
        <w:t>higher classes, and the</w:t>
      </w:r>
      <w:r w:rsidR="00583CC0" w:rsidRPr="00404B22">
        <w:rPr>
          <w:sz w:val="24"/>
          <w:szCs w:val="24"/>
        </w:rPr>
        <w:t xml:space="preserve"> </w:t>
      </w:r>
      <w:r w:rsidR="0095118A" w:rsidRPr="00404B22">
        <w:rPr>
          <w:sz w:val="24"/>
          <w:szCs w:val="24"/>
        </w:rPr>
        <w:t xml:space="preserve">industrialists. </w:t>
      </w:r>
      <w:r w:rsidR="00B77824" w:rsidRPr="00404B22">
        <w:rPr>
          <w:sz w:val="24"/>
          <w:szCs w:val="24"/>
        </w:rPr>
        <w:t xml:space="preserve">This dehumanisation of the work force is a reoccurring motif in Victorian literature and </w:t>
      </w:r>
      <w:r w:rsidR="00627630" w:rsidRPr="00404B22">
        <w:rPr>
          <w:sz w:val="24"/>
          <w:szCs w:val="24"/>
        </w:rPr>
        <w:t xml:space="preserve">satirical </w:t>
      </w:r>
      <w:r w:rsidR="00E47D46" w:rsidRPr="00404B22">
        <w:rPr>
          <w:sz w:val="24"/>
          <w:szCs w:val="24"/>
        </w:rPr>
        <w:t xml:space="preserve">poetry, in retaliation to the unfair working and living conditions of the lower classes within these cities. </w:t>
      </w:r>
      <w:r w:rsidR="006F5A95" w:rsidRPr="00404B22">
        <w:rPr>
          <w:sz w:val="24"/>
          <w:szCs w:val="24"/>
        </w:rPr>
        <w:t>Poe</w:t>
      </w:r>
      <w:r w:rsidR="00E63BC2" w:rsidRPr="00404B22">
        <w:rPr>
          <w:sz w:val="24"/>
          <w:szCs w:val="24"/>
        </w:rPr>
        <w:t>t</w:t>
      </w:r>
      <w:r w:rsidR="006F5A95" w:rsidRPr="00404B22">
        <w:rPr>
          <w:sz w:val="24"/>
          <w:szCs w:val="24"/>
        </w:rPr>
        <w:t>s such as William Blake</w:t>
      </w:r>
      <w:r w:rsidR="00E63BC2" w:rsidRPr="00404B22">
        <w:rPr>
          <w:sz w:val="24"/>
          <w:szCs w:val="24"/>
        </w:rPr>
        <w:t xml:space="preserve"> </w:t>
      </w:r>
      <w:r w:rsidR="00C43035" w:rsidRPr="00404B22">
        <w:rPr>
          <w:sz w:val="24"/>
          <w:szCs w:val="24"/>
        </w:rPr>
        <w:t>rebel</w:t>
      </w:r>
      <w:r w:rsidR="00E63BC2" w:rsidRPr="00404B22">
        <w:rPr>
          <w:sz w:val="24"/>
          <w:szCs w:val="24"/>
        </w:rPr>
        <w:t>led</w:t>
      </w:r>
      <w:r w:rsidR="00C43035" w:rsidRPr="00404B22">
        <w:rPr>
          <w:sz w:val="24"/>
          <w:szCs w:val="24"/>
        </w:rPr>
        <w:t xml:space="preserve"> against the working condition</w:t>
      </w:r>
      <w:r w:rsidR="000C33E5" w:rsidRPr="00404B22">
        <w:rPr>
          <w:sz w:val="24"/>
          <w:szCs w:val="24"/>
        </w:rPr>
        <w:t xml:space="preserve">s within factories with </w:t>
      </w:r>
      <w:r w:rsidR="00E63BC2" w:rsidRPr="00404B22">
        <w:rPr>
          <w:sz w:val="24"/>
          <w:szCs w:val="24"/>
        </w:rPr>
        <w:t>questio</w:t>
      </w:r>
      <w:r w:rsidR="00404B22" w:rsidRPr="00404B22">
        <w:rPr>
          <w:sz w:val="24"/>
          <w:szCs w:val="24"/>
        </w:rPr>
        <w:t xml:space="preserve">ns </w:t>
      </w:r>
      <w:r w:rsidR="00E63BC2" w:rsidRPr="00404B22">
        <w:rPr>
          <w:sz w:val="24"/>
          <w:szCs w:val="24"/>
        </w:rPr>
        <w:t>such as</w:t>
      </w:r>
      <w:r w:rsidR="000216AD" w:rsidRPr="00404B22">
        <w:rPr>
          <w:sz w:val="24"/>
          <w:szCs w:val="24"/>
        </w:rPr>
        <w:t xml:space="preserve"> in Blake’s </w:t>
      </w:r>
      <w:r w:rsidR="00E63BC2" w:rsidRPr="00404B22">
        <w:rPr>
          <w:i/>
          <w:iCs/>
          <w:sz w:val="24"/>
          <w:szCs w:val="24"/>
        </w:rPr>
        <w:t>The Tyger</w:t>
      </w:r>
      <w:r w:rsidR="00E63BC2" w:rsidRPr="00404B22">
        <w:rPr>
          <w:sz w:val="24"/>
          <w:szCs w:val="24"/>
        </w:rPr>
        <w:t xml:space="preserve"> </w:t>
      </w:r>
      <w:r w:rsidR="000C33E5" w:rsidRPr="00404B22">
        <w:rPr>
          <w:sz w:val="24"/>
          <w:szCs w:val="24"/>
        </w:rPr>
        <w:t xml:space="preserve">‘What the hammer? </w:t>
      </w:r>
      <w:r w:rsidR="00A237C8" w:rsidRPr="00404B22">
        <w:rPr>
          <w:sz w:val="24"/>
          <w:szCs w:val="24"/>
        </w:rPr>
        <w:t>What the chain</w:t>
      </w:r>
      <w:r w:rsidR="00404B22" w:rsidRPr="00404B22">
        <w:rPr>
          <w:sz w:val="24"/>
          <w:szCs w:val="24"/>
        </w:rPr>
        <w:t>,</w:t>
      </w:r>
      <w:r w:rsidR="00B7333F" w:rsidRPr="00404B22">
        <w:rPr>
          <w:rStyle w:val="FootnoteReference"/>
          <w:sz w:val="24"/>
          <w:szCs w:val="24"/>
        </w:rPr>
        <w:footnoteReference w:id="7"/>
      </w:r>
      <w:r w:rsidR="00E63BC2" w:rsidRPr="00404B22">
        <w:rPr>
          <w:sz w:val="24"/>
          <w:szCs w:val="24"/>
        </w:rPr>
        <w:t>.</w:t>
      </w:r>
      <w:r w:rsidR="001B6E80" w:rsidRPr="00404B22">
        <w:rPr>
          <w:sz w:val="24"/>
          <w:szCs w:val="24"/>
        </w:rPr>
        <w:t xml:space="preserve"> Blake’s </w:t>
      </w:r>
      <w:r w:rsidR="0047347A" w:rsidRPr="00404B22">
        <w:rPr>
          <w:sz w:val="24"/>
          <w:szCs w:val="24"/>
        </w:rPr>
        <w:t>social commentary via his works reiterate the dehumanisation of the working classes in the 1800s</w:t>
      </w:r>
      <w:r w:rsidR="005B22A4" w:rsidRPr="00404B22">
        <w:rPr>
          <w:sz w:val="24"/>
          <w:szCs w:val="24"/>
        </w:rPr>
        <w:t xml:space="preserve"> and</w:t>
      </w:r>
      <w:r w:rsidR="00E63BC2" w:rsidRPr="00404B22">
        <w:rPr>
          <w:sz w:val="24"/>
          <w:szCs w:val="24"/>
        </w:rPr>
        <w:t xml:space="preserve"> </w:t>
      </w:r>
      <w:r w:rsidR="00587CE5" w:rsidRPr="00404B22">
        <w:rPr>
          <w:sz w:val="24"/>
          <w:szCs w:val="24"/>
        </w:rPr>
        <w:t xml:space="preserve">Southey’s </w:t>
      </w:r>
      <w:r w:rsidR="00587CE5" w:rsidRPr="00404B22">
        <w:rPr>
          <w:i/>
          <w:iCs/>
          <w:sz w:val="24"/>
          <w:szCs w:val="24"/>
        </w:rPr>
        <w:t xml:space="preserve">Letters from England </w:t>
      </w:r>
      <w:r w:rsidR="00E90604" w:rsidRPr="00404B22">
        <w:rPr>
          <w:sz w:val="24"/>
          <w:szCs w:val="24"/>
        </w:rPr>
        <w:t xml:space="preserve">states that </w:t>
      </w:r>
      <w:r w:rsidR="00A312E7" w:rsidRPr="00404B22">
        <w:rPr>
          <w:sz w:val="24"/>
          <w:szCs w:val="24"/>
        </w:rPr>
        <w:t>there is more “causes at present for humiliation than for triumph at Birmingham.”</w:t>
      </w:r>
      <w:r w:rsidR="00067FDD" w:rsidRPr="00404B22">
        <w:rPr>
          <w:sz w:val="24"/>
          <w:szCs w:val="24"/>
        </w:rPr>
        <w:t xml:space="preserve"> </w:t>
      </w:r>
    </w:p>
    <w:p w14:paraId="240F0444" w14:textId="77777777" w:rsidR="004313A2" w:rsidRPr="00404B22" w:rsidRDefault="004313A2" w:rsidP="00BE0209">
      <w:pPr>
        <w:spacing w:line="480" w:lineRule="auto"/>
        <w:rPr>
          <w:sz w:val="24"/>
          <w:szCs w:val="24"/>
        </w:rPr>
      </w:pPr>
    </w:p>
    <w:p w14:paraId="195FB3DB" w14:textId="2C232267" w:rsidR="00B77824" w:rsidRPr="00404B22" w:rsidRDefault="00DA4D4D" w:rsidP="00BE0209">
      <w:pPr>
        <w:spacing w:line="480" w:lineRule="auto"/>
        <w:rPr>
          <w:sz w:val="24"/>
          <w:szCs w:val="24"/>
        </w:rPr>
      </w:pPr>
      <w:r w:rsidRPr="00404B22">
        <w:rPr>
          <w:sz w:val="24"/>
          <w:szCs w:val="24"/>
        </w:rPr>
        <w:t xml:space="preserve">Throughout the whole Victorian work force, men, women, and children’s safety </w:t>
      </w:r>
      <w:r w:rsidR="00BE52FD" w:rsidRPr="00404B22">
        <w:rPr>
          <w:sz w:val="24"/>
          <w:szCs w:val="24"/>
        </w:rPr>
        <w:t xml:space="preserve">was disregarded </w:t>
      </w:r>
      <w:r w:rsidR="008521D9" w:rsidRPr="00404B22">
        <w:rPr>
          <w:sz w:val="24"/>
          <w:szCs w:val="24"/>
        </w:rPr>
        <w:t xml:space="preserve">with the dangerous machinery killing and injuring </w:t>
      </w:r>
      <w:r w:rsidR="000976E3" w:rsidRPr="00404B22">
        <w:rPr>
          <w:sz w:val="24"/>
          <w:szCs w:val="24"/>
        </w:rPr>
        <w:t xml:space="preserve">many. Victorian workhouses </w:t>
      </w:r>
      <w:r w:rsidR="00922C29" w:rsidRPr="00404B22">
        <w:rPr>
          <w:sz w:val="24"/>
          <w:szCs w:val="24"/>
        </w:rPr>
        <w:t xml:space="preserve">caused around </w:t>
      </w:r>
      <w:r w:rsidR="003149DC" w:rsidRPr="00404B22">
        <w:rPr>
          <w:sz w:val="24"/>
          <w:szCs w:val="24"/>
        </w:rPr>
        <w:t>‘</w:t>
      </w:r>
      <w:r w:rsidR="00922C29" w:rsidRPr="00404B22">
        <w:rPr>
          <w:sz w:val="24"/>
          <w:szCs w:val="24"/>
        </w:rPr>
        <w:t>145,000 deaths every year</w:t>
      </w:r>
      <w:r w:rsidR="003149DC" w:rsidRPr="00404B22">
        <w:rPr>
          <w:sz w:val="24"/>
          <w:szCs w:val="24"/>
        </w:rPr>
        <w:t>’</w:t>
      </w:r>
      <w:r w:rsidR="00B01FA0" w:rsidRPr="00404B22">
        <w:rPr>
          <w:sz w:val="24"/>
          <w:szCs w:val="24"/>
        </w:rPr>
        <w:t xml:space="preserve">, </w:t>
      </w:r>
      <w:r w:rsidR="00746FB0" w:rsidRPr="00404B22">
        <w:rPr>
          <w:sz w:val="24"/>
          <w:szCs w:val="24"/>
        </w:rPr>
        <w:t xml:space="preserve">furthering the argument that these workers or inmates, were expendable as these machines had a low </w:t>
      </w:r>
      <w:r w:rsidR="00D84484" w:rsidRPr="00404B22">
        <w:rPr>
          <w:sz w:val="24"/>
          <w:szCs w:val="24"/>
        </w:rPr>
        <w:t>skill needed as factory staff and inmates were trained</w:t>
      </w:r>
      <w:r w:rsidR="003149DC" w:rsidRPr="00404B22">
        <w:rPr>
          <w:sz w:val="24"/>
          <w:szCs w:val="24"/>
        </w:rPr>
        <w:t xml:space="preserve"> on these machines after their employment</w:t>
      </w:r>
      <w:r w:rsidR="003149DC" w:rsidRPr="00404B22">
        <w:rPr>
          <w:rStyle w:val="FootnoteReference"/>
          <w:sz w:val="24"/>
          <w:szCs w:val="24"/>
        </w:rPr>
        <w:footnoteReference w:id="8"/>
      </w:r>
      <w:r w:rsidR="003149DC" w:rsidRPr="00404B22">
        <w:rPr>
          <w:sz w:val="24"/>
          <w:szCs w:val="24"/>
        </w:rPr>
        <w:t xml:space="preserve">. </w:t>
      </w:r>
      <w:r w:rsidR="00BC1B2D" w:rsidRPr="00404B22">
        <w:rPr>
          <w:sz w:val="24"/>
          <w:szCs w:val="24"/>
        </w:rPr>
        <w:t xml:space="preserve">Southey’s </w:t>
      </w:r>
      <w:r w:rsidR="00BC1B2D" w:rsidRPr="00404B22">
        <w:rPr>
          <w:i/>
          <w:iCs/>
          <w:sz w:val="24"/>
          <w:szCs w:val="24"/>
        </w:rPr>
        <w:t>Letters from England</w:t>
      </w:r>
      <w:r w:rsidR="00A7747F" w:rsidRPr="00404B22">
        <w:rPr>
          <w:i/>
          <w:iCs/>
          <w:sz w:val="24"/>
          <w:szCs w:val="24"/>
        </w:rPr>
        <w:t xml:space="preserve"> </w:t>
      </w:r>
      <w:r w:rsidR="008E195D" w:rsidRPr="00404B22">
        <w:rPr>
          <w:sz w:val="24"/>
          <w:szCs w:val="24"/>
        </w:rPr>
        <w:t>describes that these factories and workhouses</w:t>
      </w:r>
      <w:r w:rsidR="004568A7" w:rsidRPr="00404B22">
        <w:rPr>
          <w:sz w:val="24"/>
          <w:szCs w:val="24"/>
        </w:rPr>
        <w:t xml:space="preserve"> </w:t>
      </w:r>
      <w:r w:rsidR="006D5595" w:rsidRPr="00404B22">
        <w:rPr>
          <w:sz w:val="24"/>
          <w:szCs w:val="24"/>
        </w:rPr>
        <w:t>working conditions and accidents mean that “commerce sends in no returns if its killed and wounded.”</w:t>
      </w:r>
      <w:r w:rsidR="003820D6" w:rsidRPr="00404B22">
        <w:rPr>
          <w:sz w:val="24"/>
          <w:szCs w:val="24"/>
        </w:rPr>
        <w:t xml:space="preserve"> </w:t>
      </w:r>
      <w:r w:rsidR="00731BFD" w:rsidRPr="00404B22">
        <w:rPr>
          <w:sz w:val="24"/>
          <w:szCs w:val="24"/>
        </w:rPr>
        <w:t>Increase in the population of Victorian cities</w:t>
      </w:r>
      <w:r w:rsidR="0017582E" w:rsidRPr="00404B22">
        <w:rPr>
          <w:sz w:val="24"/>
          <w:szCs w:val="24"/>
        </w:rPr>
        <w:t xml:space="preserve"> </w:t>
      </w:r>
      <w:r w:rsidR="002B322C" w:rsidRPr="00404B22">
        <w:rPr>
          <w:sz w:val="24"/>
          <w:szCs w:val="24"/>
        </w:rPr>
        <w:t xml:space="preserve">between 1800 and 1841, such as </w:t>
      </w:r>
      <w:r w:rsidR="00BC7467" w:rsidRPr="00404B22">
        <w:rPr>
          <w:sz w:val="24"/>
          <w:szCs w:val="24"/>
        </w:rPr>
        <w:t>London increasing from 958,863 to 1,948,417</w:t>
      </w:r>
      <w:r w:rsidR="00AC5D17" w:rsidRPr="00404B22">
        <w:rPr>
          <w:rStyle w:val="FootnoteReference"/>
          <w:sz w:val="24"/>
          <w:szCs w:val="24"/>
        </w:rPr>
        <w:footnoteReference w:id="9"/>
      </w:r>
      <w:r w:rsidR="00BC7467" w:rsidRPr="00404B22">
        <w:rPr>
          <w:sz w:val="24"/>
          <w:szCs w:val="24"/>
        </w:rPr>
        <w:t xml:space="preserve">. Population increase </w:t>
      </w:r>
      <w:r w:rsidR="00AC5D17" w:rsidRPr="00404B22">
        <w:rPr>
          <w:sz w:val="24"/>
          <w:szCs w:val="24"/>
        </w:rPr>
        <w:t xml:space="preserve">led to over-crowding </w:t>
      </w:r>
      <w:r w:rsidR="002C235D" w:rsidRPr="00404B22">
        <w:rPr>
          <w:sz w:val="24"/>
          <w:szCs w:val="24"/>
        </w:rPr>
        <w:t>of housing</w:t>
      </w:r>
      <w:r w:rsidR="006979EE" w:rsidRPr="00404B22">
        <w:rPr>
          <w:sz w:val="24"/>
          <w:szCs w:val="24"/>
        </w:rPr>
        <w:t xml:space="preserve"> </w:t>
      </w:r>
      <w:r w:rsidR="002C235D" w:rsidRPr="00404B22">
        <w:rPr>
          <w:sz w:val="24"/>
          <w:szCs w:val="24"/>
        </w:rPr>
        <w:t xml:space="preserve">allowing diseases to spread </w:t>
      </w:r>
      <w:r w:rsidR="006979EE" w:rsidRPr="00404B22">
        <w:rPr>
          <w:sz w:val="24"/>
          <w:szCs w:val="24"/>
        </w:rPr>
        <w:t>rapidly and</w:t>
      </w:r>
      <w:r w:rsidR="002C235D" w:rsidRPr="00404B22">
        <w:rPr>
          <w:sz w:val="24"/>
          <w:szCs w:val="24"/>
        </w:rPr>
        <w:t xml:space="preserve"> overcrowding within the workforce</w:t>
      </w:r>
      <w:r w:rsidR="00C744A8" w:rsidRPr="00404B22">
        <w:rPr>
          <w:sz w:val="24"/>
          <w:szCs w:val="24"/>
        </w:rPr>
        <w:t xml:space="preserve">. </w:t>
      </w:r>
      <w:r w:rsidR="00754283" w:rsidRPr="00404B22">
        <w:rPr>
          <w:sz w:val="24"/>
          <w:szCs w:val="24"/>
        </w:rPr>
        <w:t xml:space="preserve">This housing crisis created a sanitary problem throughout the cities of England, due to the </w:t>
      </w:r>
      <w:r w:rsidR="00774EEE" w:rsidRPr="00404B22">
        <w:rPr>
          <w:sz w:val="24"/>
          <w:szCs w:val="24"/>
        </w:rPr>
        <w:t xml:space="preserve">lack of privies and </w:t>
      </w:r>
      <w:r w:rsidR="009457B5" w:rsidRPr="00404B22">
        <w:rPr>
          <w:sz w:val="24"/>
          <w:szCs w:val="24"/>
        </w:rPr>
        <w:t xml:space="preserve">‘wastes from </w:t>
      </w:r>
      <w:proofErr w:type="gramStart"/>
      <w:r w:rsidR="009457B5" w:rsidRPr="00404B22">
        <w:rPr>
          <w:sz w:val="24"/>
          <w:szCs w:val="24"/>
        </w:rPr>
        <w:t>slaughter houses</w:t>
      </w:r>
      <w:proofErr w:type="gramEnd"/>
      <w:r w:rsidR="009457B5" w:rsidRPr="00404B22">
        <w:rPr>
          <w:sz w:val="24"/>
          <w:szCs w:val="24"/>
        </w:rPr>
        <w:t>, chemical soap, gas, dye-houses</w:t>
      </w:r>
      <w:r w:rsidR="001D44C4" w:rsidRPr="00404B22">
        <w:rPr>
          <w:sz w:val="24"/>
          <w:szCs w:val="24"/>
        </w:rPr>
        <w:t xml:space="preserve">, [and] old urine wash.’ </w:t>
      </w:r>
      <w:r w:rsidR="00852A2F" w:rsidRPr="00404B22">
        <w:rPr>
          <w:sz w:val="24"/>
          <w:szCs w:val="24"/>
        </w:rPr>
        <w:t xml:space="preserve">These recent city residents </w:t>
      </w:r>
      <w:r w:rsidR="00FB35F1" w:rsidRPr="00404B22">
        <w:rPr>
          <w:sz w:val="24"/>
          <w:szCs w:val="24"/>
        </w:rPr>
        <w:t>increased demand for jobs which led to many</w:t>
      </w:r>
      <w:r w:rsidR="004D7F63" w:rsidRPr="00404B22">
        <w:rPr>
          <w:sz w:val="24"/>
          <w:szCs w:val="24"/>
        </w:rPr>
        <w:t xml:space="preserve"> factories </w:t>
      </w:r>
      <w:r w:rsidR="00FB35F1" w:rsidRPr="00404B22">
        <w:rPr>
          <w:sz w:val="24"/>
          <w:szCs w:val="24"/>
        </w:rPr>
        <w:t xml:space="preserve">being </w:t>
      </w:r>
      <w:r w:rsidR="004D7F63" w:rsidRPr="00404B22">
        <w:rPr>
          <w:sz w:val="24"/>
          <w:szCs w:val="24"/>
        </w:rPr>
        <w:t xml:space="preserve">built </w:t>
      </w:r>
      <w:r w:rsidR="00FB35F1" w:rsidRPr="00404B22">
        <w:rPr>
          <w:sz w:val="24"/>
          <w:szCs w:val="24"/>
        </w:rPr>
        <w:t>which moved</w:t>
      </w:r>
      <w:r w:rsidR="004D7F63" w:rsidRPr="00404B22">
        <w:rPr>
          <w:sz w:val="24"/>
          <w:szCs w:val="24"/>
        </w:rPr>
        <w:t xml:space="preserve"> towards a </w:t>
      </w:r>
      <w:r w:rsidR="00FB35F1" w:rsidRPr="00404B22">
        <w:rPr>
          <w:sz w:val="24"/>
          <w:szCs w:val="24"/>
        </w:rPr>
        <w:t xml:space="preserve">hard-working, labour-focused city, creating </w:t>
      </w:r>
      <w:r w:rsidR="0005316E" w:rsidRPr="00404B22">
        <w:rPr>
          <w:sz w:val="24"/>
          <w:szCs w:val="24"/>
        </w:rPr>
        <w:t>smoke</w:t>
      </w:r>
      <w:r w:rsidR="003548DB" w:rsidRPr="00404B22">
        <w:rPr>
          <w:sz w:val="24"/>
          <w:szCs w:val="24"/>
        </w:rPr>
        <w:t xml:space="preserve"> which effected the </w:t>
      </w:r>
      <w:r w:rsidR="00270D81" w:rsidRPr="00404B22">
        <w:rPr>
          <w:sz w:val="24"/>
          <w:szCs w:val="24"/>
        </w:rPr>
        <w:t>atmosphere and an increase in the air pollution of each city</w:t>
      </w:r>
      <w:r w:rsidR="00E321CF" w:rsidRPr="00404B22">
        <w:rPr>
          <w:sz w:val="24"/>
          <w:szCs w:val="24"/>
        </w:rPr>
        <w:t>.</w:t>
      </w:r>
    </w:p>
    <w:p w14:paraId="308F22AC" w14:textId="77777777" w:rsidR="0005316E" w:rsidRPr="00404B22" w:rsidRDefault="0005316E" w:rsidP="00BE0209">
      <w:pPr>
        <w:spacing w:line="480" w:lineRule="auto"/>
        <w:rPr>
          <w:sz w:val="24"/>
          <w:szCs w:val="24"/>
        </w:rPr>
      </w:pPr>
    </w:p>
    <w:p w14:paraId="1FC7238C" w14:textId="3F9775CD" w:rsidR="004071B0" w:rsidRPr="00404B22" w:rsidRDefault="00103387" w:rsidP="00BE0209">
      <w:pPr>
        <w:spacing w:line="480" w:lineRule="auto"/>
        <w:rPr>
          <w:sz w:val="24"/>
          <w:szCs w:val="24"/>
        </w:rPr>
      </w:pPr>
      <w:r w:rsidRPr="00404B22">
        <w:rPr>
          <w:sz w:val="24"/>
          <w:szCs w:val="24"/>
        </w:rPr>
        <w:lastRenderedPageBreak/>
        <w:t>Description of the factories and workhouses effects on the environment in Birmingham are resembled in the account of ‘James Phillips Kay’ in Manchester where the ‘</w:t>
      </w:r>
      <w:r w:rsidR="00517CC5" w:rsidRPr="00404B22">
        <w:rPr>
          <w:sz w:val="24"/>
          <w:szCs w:val="24"/>
        </w:rPr>
        <w:t>chimneys vomit forth dense clouds of smoke’</w:t>
      </w:r>
      <w:r w:rsidRPr="00404B22">
        <w:rPr>
          <w:rStyle w:val="FootnoteReference"/>
          <w:sz w:val="24"/>
          <w:szCs w:val="24"/>
        </w:rPr>
        <w:footnoteReference w:id="10"/>
      </w:r>
      <w:r w:rsidRPr="00404B22">
        <w:rPr>
          <w:sz w:val="24"/>
          <w:szCs w:val="24"/>
        </w:rPr>
        <w:t>. These f</w:t>
      </w:r>
      <w:r w:rsidR="00E83D82" w:rsidRPr="00404B22">
        <w:rPr>
          <w:sz w:val="24"/>
          <w:szCs w:val="24"/>
        </w:rPr>
        <w:t xml:space="preserve">umes </w:t>
      </w:r>
      <w:r w:rsidRPr="00404B22">
        <w:rPr>
          <w:sz w:val="24"/>
          <w:szCs w:val="24"/>
        </w:rPr>
        <w:t xml:space="preserve">were </w:t>
      </w:r>
      <w:r w:rsidR="00E83D82" w:rsidRPr="00404B22">
        <w:rPr>
          <w:sz w:val="24"/>
          <w:szCs w:val="24"/>
        </w:rPr>
        <w:t>created by the means of production</w:t>
      </w:r>
      <w:r w:rsidRPr="00404B22">
        <w:rPr>
          <w:sz w:val="24"/>
          <w:szCs w:val="24"/>
        </w:rPr>
        <w:t xml:space="preserve">, </w:t>
      </w:r>
      <w:r w:rsidR="000D6BBC" w:rsidRPr="00404B22">
        <w:rPr>
          <w:sz w:val="24"/>
          <w:szCs w:val="24"/>
        </w:rPr>
        <w:t>“active and moving”</w:t>
      </w:r>
      <w:r w:rsidR="00E83D82" w:rsidRPr="00404B22">
        <w:rPr>
          <w:sz w:val="24"/>
          <w:szCs w:val="24"/>
        </w:rPr>
        <w:t xml:space="preserve"> within the city’s </w:t>
      </w:r>
      <w:r w:rsidR="000D6BBC" w:rsidRPr="00404B22">
        <w:rPr>
          <w:sz w:val="24"/>
          <w:szCs w:val="24"/>
        </w:rPr>
        <w:t>“whole atmosphere” and effecting every aspect of the city</w:t>
      </w:r>
      <w:r w:rsidR="002169E9" w:rsidRPr="00404B22">
        <w:rPr>
          <w:sz w:val="24"/>
          <w:szCs w:val="24"/>
        </w:rPr>
        <w:t>, leading to</w:t>
      </w:r>
      <w:r w:rsidR="000D6BBC" w:rsidRPr="00404B22">
        <w:rPr>
          <w:sz w:val="24"/>
          <w:szCs w:val="24"/>
        </w:rPr>
        <w:t xml:space="preserve"> multiple health problems</w:t>
      </w:r>
      <w:r w:rsidR="002169E9" w:rsidRPr="00404B22">
        <w:rPr>
          <w:sz w:val="24"/>
          <w:szCs w:val="24"/>
        </w:rPr>
        <w:t xml:space="preserve"> </w:t>
      </w:r>
      <w:r w:rsidR="000D6BBC" w:rsidRPr="00404B22">
        <w:rPr>
          <w:sz w:val="24"/>
          <w:szCs w:val="24"/>
        </w:rPr>
        <w:t>such as Tuberculosis and the outbreak of Cholera. In 1854, ‘a Dr Snow showed the relationship between a major cholera outbreak and a single polluted pump</w:t>
      </w:r>
      <w:r w:rsidR="0095118A" w:rsidRPr="00404B22">
        <w:rPr>
          <w:sz w:val="24"/>
          <w:szCs w:val="24"/>
        </w:rPr>
        <w:t>’</w:t>
      </w:r>
      <w:r w:rsidR="000D6BBC" w:rsidRPr="00404B22">
        <w:rPr>
          <w:rStyle w:val="FootnoteReference"/>
          <w:sz w:val="24"/>
          <w:szCs w:val="24"/>
        </w:rPr>
        <w:footnoteReference w:id="11"/>
      </w:r>
      <w:r w:rsidR="0095118A" w:rsidRPr="00404B22">
        <w:rPr>
          <w:sz w:val="24"/>
          <w:szCs w:val="24"/>
        </w:rPr>
        <w:t>.</w:t>
      </w:r>
      <w:r w:rsidR="000D6BBC" w:rsidRPr="00404B22">
        <w:rPr>
          <w:sz w:val="24"/>
          <w:szCs w:val="24"/>
        </w:rPr>
        <w:t xml:space="preserve"> Outbreak and increase of diseases led to ‘The Sanitary Act </w:t>
      </w:r>
      <w:r w:rsidR="00AF41DC" w:rsidRPr="00404B22">
        <w:rPr>
          <w:sz w:val="24"/>
          <w:szCs w:val="24"/>
        </w:rPr>
        <w:t xml:space="preserve">[in] </w:t>
      </w:r>
      <w:r w:rsidR="000D6BBC" w:rsidRPr="00404B22">
        <w:rPr>
          <w:sz w:val="24"/>
          <w:szCs w:val="24"/>
        </w:rPr>
        <w:t>1847’ in which required cit</w:t>
      </w:r>
      <w:r w:rsidR="008223D1" w:rsidRPr="00404B22">
        <w:rPr>
          <w:sz w:val="24"/>
          <w:szCs w:val="24"/>
        </w:rPr>
        <w:t>ies</w:t>
      </w:r>
      <w:r w:rsidR="000D6BBC" w:rsidRPr="00404B22">
        <w:rPr>
          <w:sz w:val="24"/>
          <w:szCs w:val="24"/>
        </w:rPr>
        <w:t xml:space="preserve"> to have ‘sewers and drains to be provided in all new residential areas’</w:t>
      </w:r>
      <w:r w:rsidR="00727FF5" w:rsidRPr="00404B22">
        <w:rPr>
          <w:rStyle w:val="FootnoteReference"/>
          <w:sz w:val="24"/>
          <w:szCs w:val="24"/>
        </w:rPr>
        <w:footnoteReference w:id="12"/>
      </w:r>
      <w:r w:rsidR="00727FF5" w:rsidRPr="00404B22">
        <w:rPr>
          <w:sz w:val="24"/>
          <w:szCs w:val="24"/>
        </w:rPr>
        <w:t>.</w:t>
      </w:r>
      <w:r w:rsidR="000D6BBC" w:rsidRPr="00404B22">
        <w:rPr>
          <w:sz w:val="24"/>
          <w:szCs w:val="24"/>
        </w:rPr>
        <w:t xml:space="preserve"> </w:t>
      </w:r>
      <w:r w:rsidR="00727FF5" w:rsidRPr="00404B22">
        <w:rPr>
          <w:sz w:val="24"/>
          <w:szCs w:val="24"/>
        </w:rPr>
        <w:t>W</w:t>
      </w:r>
      <w:r w:rsidR="000D6BBC" w:rsidRPr="00404B22">
        <w:rPr>
          <w:sz w:val="24"/>
          <w:szCs w:val="24"/>
        </w:rPr>
        <w:t xml:space="preserve">hile Southey’s </w:t>
      </w:r>
      <w:r w:rsidR="000D6BBC" w:rsidRPr="00404B22">
        <w:rPr>
          <w:i/>
          <w:iCs/>
          <w:sz w:val="24"/>
          <w:szCs w:val="24"/>
        </w:rPr>
        <w:t>Letters from England</w:t>
      </w:r>
      <w:r w:rsidR="000D6BBC" w:rsidRPr="00404B22">
        <w:rPr>
          <w:sz w:val="24"/>
          <w:szCs w:val="24"/>
        </w:rPr>
        <w:t xml:space="preserve"> in 1808 </w:t>
      </w:r>
      <w:r w:rsidR="0047645A" w:rsidRPr="00404B22">
        <w:rPr>
          <w:sz w:val="24"/>
          <w:szCs w:val="24"/>
        </w:rPr>
        <w:t xml:space="preserve">describes </w:t>
      </w:r>
      <w:r w:rsidR="00D65259" w:rsidRPr="00404B22">
        <w:rPr>
          <w:sz w:val="24"/>
          <w:szCs w:val="24"/>
        </w:rPr>
        <w:t xml:space="preserve">the </w:t>
      </w:r>
      <w:r w:rsidR="000D6BBC" w:rsidRPr="00404B22">
        <w:rPr>
          <w:sz w:val="24"/>
          <w:szCs w:val="24"/>
        </w:rPr>
        <w:t xml:space="preserve">dirt </w:t>
      </w:r>
      <w:r w:rsidR="00C80550" w:rsidRPr="00404B22">
        <w:rPr>
          <w:sz w:val="24"/>
          <w:szCs w:val="24"/>
        </w:rPr>
        <w:t xml:space="preserve">on the streets </w:t>
      </w:r>
      <w:r w:rsidR="00D65259" w:rsidRPr="00404B22">
        <w:rPr>
          <w:sz w:val="24"/>
          <w:szCs w:val="24"/>
        </w:rPr>
        <w:t xml:space="preserve">to be </w:t>
      </w:r>
      <w:r w:rsidR="009540DC" w:rsidRPr="00404B22">
        <w:rPr>
          <w:sz w:val="24"/>
          <w:szCs w:val="24"/>
        </w:rPr>
        <w:t xml:space="preserve">in </w:t>
      </w:r>
      <w:r w:rsidR="000D6BBC" w:rsidRPr="00404B22">
        <w:rPr>
          <w:sz w:val="24"/>
          <w:szCs w:val="24"/>
        </w:rPr>
        <w:t>“idle heaps”</w:t>
      </w:r>
      <w:r w:rsidR="00F51619" w:rsidRPr="00404B22">
        <w:rPr>
          <w:sz w:val="24"/>
          <w:szCs w:val="24"/>
        </w:rPr>
        <w:t xml:space="preserve"> with streets acting as </w:t>
      </w:r>
      <w:r w:rsidR="00727FF5" w:rsidRPr="00404B22">
        <w:rPr>
          <w:sz w:val="24"/>
          <w:szCs w:val="24"/>
        </w:rPr>
        <w:t>‘</w:t>
      </w:r>
      <w:r w:rsidR="00F51619" w:rsidRPr="00404B22">
        <w:rPr>
          <w:sz w:val="24"/>
          <w:szCs w:val="24"/>
        </w:rPr>
        <w:t xml:space="preserve">common </w:t>
      </w:r>
      <w:r w:rsidR="00727FF5" w:rsidRPr="00404B22">
        <w:rPr>
          <w:sz w:val="24"/>
          <w:szCs w:val="24"/>
        </w:rPr>
        <w:t>recept</w:t>
      </w:r>
      <w:r w:rsidR="001A2E6F" w:rsidRPr="00404B22">
        <w:rPr>
          <w:sz w:val="24"/>
          <w:szCs w:val="24"/>
        </w:rPr>
        <w:t>acles of mud, refuse, and disgusting ordure’</w:t>
      </w:r>
      <w:r w:rsidR="007A5076" w:rsidRPr="00404B22">
        <w:rPr>
          <w:rStyle w:val="FootnoteReference"/>
          <w:sz w:val="24"/>
          <w:szCs w:val="24"/>
        </w:rPr>
        <w:footnoteReference w:id="13"/>
      </w:r>
      <w:r w:rsidR="000D6BBC" w:rsidRPr="00404B22">
        <w:rPr>
          <w:sz w:val="24"/>
          <w:szCs w:val="24"/>
        </w:rPr>
        <w:t>. This link between pollution and the declining health of workers and their families in the cities of the 1800s, is described in Charles Dicken</w:t>
      </w:r>
      <w:r w:rsidR="00F247BC" w:rsidRPr="00404B22">
        <w:rPr>
          <w:sz w:val="24"/>
          <w:szCs w:val="24"/>
        </w:rPr>
        <w:t>s’</w:t>
      </w:r>
      <w:r w:rsidR="000D6BBC" w:rsidRPr="00404B22">
        <w:rPr>
          <w:sz w:val="24"/>
          <w:szCs w:val="24"/>
        </w:rPr>
        <w:t xml:space="preserve"> </w:t>
      </w:r>
      <w:r w:rsidR="000D6BBC" w:rsidRPr="00404B22">
        <w:rPr>
          <w:i/>
          <w:iCs/>
          <w:sz w:val="24"/>
          <w:szCs w:val="24"/>
        </w:rPr>
        <w:t>Bleak House</w:t>
      </w:r>
      <w:r w:rsidR="001E12D0" w:rsidRPr="00404B22">
        <w:rPr>
          <w:i/>
          <w:iCs/>
          <w:sz w:val="24"/>
          <w:szCs w:val="24"/>
        </w:rPr>
        <w:t>,</w:t>
      </w:r>
      <w:r w:rsidR="000D6BBC" w:rsidRPr="00404B22">
        <w:rPr>
          <w:sz w:val="24"/>
          <w:szCs w:val="24"/>
        </w:rPr>
        <w:t xml:space="preserve"> as ‘the poison which causes death is not a gas, but a sort of atmosphere of organic particles…invisible.’</w:t>
      </w:r>
      <w:r w:rsidR="00E8564F" w:rsidRPr="00404B22">
        <w:rPr>
          <w:sz w:val="24"/>
          <w:szCs w:val="24"/>
        </w:rPr>
        <w:t xml:space="preserve">, </w:t>
      </w:r>
      <w:r w:rsidR="00FC6FF9" w:rsidRPr="00404B22">
        <w:rPr>
          <w:sz w:val="24"/>
          <w:szCs w:val="24"/>
        </w:rPr>
        <w:t xml:space="preserve"> </w:t>
      </w:r>
      <w:r w:rsidR="00EC53B9" w:rsidRPr="00404B22">
        <w:rPr>
          <w:sz w:val="24"/>
          <w:szCs w:val="24"/>
        </w:rPr>
        <w:t>describing a 19</w:t>
      </w:r>
      <w:r w:rsidR="00EC53B9" w:rsidRPr="00404B22">
        <w:rPr>
          <w:sz w:val="24"/>
          <w:szCs w:val="24"/>
          <w:vertAlign w:val="superscript"/>
        </w:rPr>
        <w:t>th</w:t>
      </w:r>
      <w:r w:rsidR="00EC53B9" w:rsidRPr="00404B22">
        <w:rPr>
          <w:sz w:val="24"/>
          <w:szCs w:val="24"/>
        </w:rPr>
        <w:t xml:space="preserve"> century belief and knowledge </w:t>
      </w:r>
      <w:r w:rsidR="0037305A" w:rsidRPr="00404B22">
        <w:rPr>
          <w:sz w:val="24"/>
          <w:szCs w:val="24"/>
        </w:rPr>
        <w:t>of how diseases spread and were created</w:t>
      </w:r>
      <w:r w:rsidR="0004701A" w:rsidRPr="00404B22">
        <w:rPr>
          <w:sz w:val="24"/>
          <w:szCs w:val="24"/>
        </w:rPr>
        <w:t xml:space="preserve"> and disproved ideas</w:t>
      </w:r>
      <w:r w:rsidR="001E12D0" w:rsidRPr="00404B22">
        <w:rPr>
          <w:sz w:val="24"/>
          <w:szCs w:val="24"/>
        </w:rPr>
        <w:t>,</w:t>
      </w:r>
      <w:r w:rsidR="0004701A" w:rsidRPr="00404B22">
        <w:rPr>
          <w:sz w:val="24"/>
          <w:szCs w:val="24"/>
        </w:rPr>
        <w:t xml:space="preserve"> </w:t>
      </w:r>
      <w:r w:rsidR="00D11187" w:rsidRPr="00404B22">
        <w:rPr>
          <w:sz w:val="24"/>
          <w:szCs w:val="24"/>
        </w:rPr>
        <w:t>after Dr Snow’s discovery of Cholera at the Broad Street pump in London</w:t>
      </w:r>
      <w:r w:rsidR="001A74FD" w:rsidRPr="00404B22">
        <w:rPr>
          <w:rStyle w:val="FootnoteReference"/>
          <w:sz w:val="24"/>
          <w:szCs w:val="24"/>
        </w:rPr>
        <w:footnoteReference w:id="14"/>
      </w:r>
      <w:r w:rsidR="00D11187" w:rsidRPr="00404B22">
        <w:rPr>
          <w:sz w:val="24"/>
          <w:szCs w:val="24"/>
        </w:rPr>
        <w:t>.</w:t>
      </w:r>
      <w:r w:rsidR="001A74FD" w:rsidRPr="00404B22">
        <w:rPr>
          <w:sz w:val="24"/>
          <w:szCs w:val="24"/>
        </w:rPr>
        <w:t xml:space="preserve"> </w:t>
      </w:r>
      <w:r w:rsidR="00E44E89" w:rsidRPr="00404B22">
        <w:rPr>
          <w:sz w:val="24"/>
          <w:szCs w:val="24"/>
        </w:rPr>
        <w:t>Dickens’</w:t>
      </w:r>
      <w:r w:rsidR="00F247BC" w:rsidRPr="00404B22">
        <w:rPr>
          <w:sz w:val="24"/>
          <w:szCs w:val="24"/>
        </w:rPr>
        <w:t xml:space="preserve"> work </w:t>
      </w:r>
      <w:r w:rsidR="00FC6FF9" w:rsidRPr="00404B22">
        <w:rPr>
          <w:sz w:val="24"/>
          <w:szCs w:val="24"/>
        </w:rPr>
        <w:t>about</w:t>
      </w:r>
      <w:r w:rsidR="00F247BC" w:rsidRPr="00404B22">
        <w:rPr>
          <w:sz w:val="24"/>
          <w:szCs w:val="24"/>
        </w:rPr>
        <w:t xml:space="preserve"> Victorian cities, such as </w:t>
      </w:r>
      <w:r w:rsidR="00F247BC" w:rsidRPr="00404B22">
        <w:rPr>
          <w:i/>
          <w:iCs/>
          <w:sz w:val="24"/>
          <w:szCs w:val="24"/>
        </w:rPr>
        <w:t>Bleak House</w:t>
      </w:r>
      <w:r w:rsidR="00F247BC" w:rsidRPr="00404B22">
        <w:rPr>
          <w:sz w:val="24"/>
          <w:szCs w:val="24"/>
        </w:rPr>
        <w:t xml:space="preserve"> describes cities of poverty and pollution</w:t>
      </w:r>
      <w:r w:rsidR="001E65FA" w:rsidRPr="00404B22">
        <w:rPr>
          <w:sz w:val="24"/>
          <w:szCs w:val="24"/>
        </w:rPr>
        <w:t xml:space="preserve"> which have influenced people’s view on </w:t>
      </w:r>
      <w:r w:rsidR="00512A71" w:rsidRPr="00404B22">
        <w:rPr>
          <w:sz w:val="24"/>
          <w:szCs w:val="24"/>
        </w:rPr>
        <w:t>the Victorian er</w:t>
      </w:r>
      <w:r w:rsidR="00381DC7" w:rsidRPr="00404B22">
        <w:rPr>
          <w:sz w:val="24"/>
          <w:szCs w:val="24"/>
        </w:rPr>
        <w:t>a</w:t>
      </w:r>
      <w:r w:rsidR="00512A71" w:rsidRPr="00404B22">
        <w:rPr>
          <w:sz w:val="24"/>
          <w:szCs w:val="24"/>
        </w:rPr>
        <w:t xml:space="preserve"> and </w:t>
      </w:r>
      <w:r w:rsidR="00381DC7" w:rsidRPr="00404B22">
        <w:rPr>
          <w:sz w:val="24"/>
          <w:szCs w:val="24"/>
        </w:rPr>
        <w:t>its</w:t>
      </w:r>
      <w:r w:rsidR="00512A71" w:rsidRPr="00404B22">
        <w:rPr>
          <w:sz w:val="24"/>
          <w:szCs w:val="24"/>
        </w:rPr>
        <w:t xml:space="preserve"> living conditions</w:t>
      </w:r>
      <w:r w:rsidR="00F247BC" w:rsidRPr="00404B22">
        <w:rPr>
          <w:sz w:val="24"/>
          <w:szCs w:val="24"/>
        </w:rPr>
        <w:t xml:space="preserve">. </w:t>
      </w:r>
      <w:r w:rsidR="000D6BBC" w:rsidRPr="00404B22">
        <w:rPr>
          <w:sz w:val="24"/>
          <w:szCs w:val="24"/>
        </w:rPr>
        <w:t>This atmosphere reinforces Southey’s description of Victorian Birmingham’s pollution filling out everywhere and “penetrates everywhere spotting and staining everything”</w:t>
      </w:r>
      <w:r w:rsidR="009540DC" w:rsidRPr="00404B22">
        <w:rPr>
          <w:sz w:val="24"/>
          <w:szCs w:val="24"/>
        </w:rPr>
        <w:t xml:space="preserve"> </w:t>
      </w:r>
      <w:r w:rsidR="00835FAF" w:rsidRPr="00404B22">
        <w:rPr>
          <w:sz w:val="24"/>
          <w:szCs w:val="24"/>
        </w:rPr>
        <w:t xml:space="preserve">leading to the feeling of their “throat wanted sweeping” </w:t>
      </w:r>
      <w:r w:rsidR="00361BA7" w:rsidRPr="00404B22">
        <w:rPr>
          <w:sz w:val="24"/>
          <w:szCs w:val="24"/>
        </w:rPr>
        <w:t xml:space="preserve">effecting </w:t>
      </w:r>
      <w:r w:rsidR="003E51F3" w:rsidRPr="00404B22">
        <w:rPr>
          <w:sz w:val="24"/>
          <w:szCs w:val="24"/>
        </w:rPr>
        <w:t xml:space="preserve">factory </w:t>
      </w:r>
      <w:r w:rsidR="00003FC3" w:rsidRPr="00404B22">
        <w:rPr>
          <w:sz w:val="24"/>
          <w:szCs w:val="24"/>
        </w:rPr>
        <w:t xml:space="preserve">workers and the people of Birmingham, with </w:t>
      </w:r>
      <w:proofErr w:type="gramStart"/>
      <w:r w:rsidR="00003FC3" w:rsidRPr="00404B22">
        <w:rPr>
          <w:sz w:val="24"/>
          <w:szCs w:val="24"/>
        </w:rPr>
        <w:t>their ”sickly</w:t>
      </w:r>
      <w:proofErr w:type="gramEnd"/>
      <w:r w:rsidR="00003FC3" w:rsidRPr="00404B22">
        <w:rPr>
          <w:sz w:val="24"/>
          <w:szCs w:val="24"/>
        </w:rPr>
        <w:t xml:space="preserve">” </w:t>
      </w:r>
      <w:r w:rsidR="004E67D1" w:rsidRPr="00404B22">
        <w:rPr>
          <w:sz w:val="24"/>
          <w:szCs w:val="24"/>
        </w:rPr>
        <w:t xml:space="preserve">complexions. </w:t>
      </w:r>
    </w:p>
    <w:p w14:paraId="1EB5C5E7" w14:textId="77777777" w:rsidR="00C93A87" w:rsidRPr="00404B22" w:rsidRDefault="00C93A87" w:rsidP="00BE0209">
      <w:pPr>
        <w:spacing w:line="480" w:lineRule="auto"/>
        <w:rPr>
          <w:sz w:val="24"/>
          <w:szCs w:val="24"/>
        </w:rPr>
      </w:pPr>
    </w:p>
    <w:p w14:paraId="3404650F" w14:textId="27A5CCFD" w:rsidR="00C93A87" w:rsidRPr="00404B22" w:rsidRDefault="00D6068E" w:rsidP="00BE0209">
      <w:pPr>
        <w:spacing w:line="480" w:lineRule="auto"/>
        <w:rPr>
          <w:sz w:val="24"/>
          <w:szCs w:val="24"/>
        </w:rPr>
      </w:pPr>
      <w:r w:rsidRPr="00404B22">
        <w:rPr>
          <w:sz w:val="24"/>
          <w:szCs w:val="24"/>
        </w:rPr>
        <w:t xml:space="preserve">Southey’s </w:t>
      </w:r>
      <w:r w:rsidRPr="00404B22">
        <w:rPr>
          <w:i/>
          <w:iCs/>
          <w:sz w:val="24"/>
          <w:szCs w:val="24"/>
        </w:rPr>
        <w:t>Letters from England</w:t>
      </w:r>
      <w:r w:rsidR="001B12BF" w:rsidRPr="00404B22">
        <w:rPr>
          <w:i/>
          <w:iCs/>
          <w:sz w:val="24"/>
          <w:szCs w:val="24"/>
        </w:rPr>
        <w:t xml:space="preserve"> </w:t>
      </w:r>
      <w:r w:rsidR="001B12BF" w:rsidRPr="00404B22">
        <w:rPr>
          <w:sz w:val="24"/>
          <w:szCs w:val="24"/>
        </w:rPr>
        <w:t xml:space="preserve">allows insight into the living and working conditions within Victorian cities, </w:t>
      </w:r>
    </w:p>
    <w:p w14:paraId="48C5BA51" w14:textId="0A00F509" w:rsidR="00D6068E" w:rsidRPr="00404B22" w:rsidRDefault="00D213B8" w:rsidP="00BE0209">
      <w:pPr>
        <w:spacing w:line="480" w:lineRule="auto"/>
        <w:rPr>
          <w:sz w:val="24"/>
          <w:szCs w:val="24"/>
        </w:rPr>
      </w:pPr>
      <w:r w:rsidRPr="00404B22">
        <w:rPr>
          <w:sz w:val="24"/>
          <w:szCs w:val="24"/>
        </w:rPr>
        <w:t>with the focus on economic growth with the product of many commodities such as “buttons, buckles, and snuff boxes”</w:t>
      </w:r>
      <w:r w:rsidR="00C93A87" w:rsidRPr="00404B22">
        <w:rPr>
          <w:sz w:val="24"/>
          <w:szCs w:val="24"/>
        </w:rPr>
        <w:t xml:space="preserve">. Whilst creating </w:t>
      </w:r>
      <w:r w:rsidR="00280D84" w:rsidRPr="00404B22">
        <w:rPr>
          <w:sz w:val="24"/>
          <w:szCs w:val="24"/>
        </w:rPr>
        <w:t xml:space="preserve">a large amount of air pollution, alongside the dirt and din in the streets of </w:t>
      </w:r>
      <w:r w:rsidR="00280D84" w:rsidRPr="00404B22">
        <w:rPr>
          <w:sz w:val="24"/>
          <w:szCs w:val="24"/>
        </w:rPr>
        <w:lastRenderedPageBreak/>
        <w:t xml:space="preserve">England’s cities </w:t>
      </w:r>
      <w:r w:rsidR="00D236BC" w:rsidRPr="00404B22">
        <w:rPr>
          <w:sz w:val="24"/>
          <w:szCs w:val="24"/>
        </w:rPr>
        <w:t xml:space="preserve">which led to a lower quality of life </w:t>
      </w:r>
      <w:r w:rsidR="00880D31" w:rsidRPr="00404B22">
        <w:rPr>
          <w:sz w:val="24"/>
          <w:szCs w:val="24"/>
        </w:rPr>
        <w:t>and an increase in diseases among the working classes</w:t>
      </w:r>
      <w:r w:rsidR="00205248" w:rsidRPr="00404B22">
        <w:rPr>
          <w:sz w:val="24"/>
          <w:szCs w:val="24"/>
        </w:rPr>
        <w:t xml:space="preserve">. </w:t>
      </w:r>
      <w:r w:rsidR="00D41615" w:rsidRPr="00404B22">
        <w:rPr>
          <w:sz w:val="24"/>
          <w:szCs w:val="24"/>
        </w:rPr>
        <w:t xml:space="preserve">Workers </w:t>
      </w:r>
      <w:r w:rsidR="000A5423" w:rsidRPr="00404B22">
        <w:rPr>
          <w:sz w:val="24"/>
          <w:szCs w:val="24"/>
        </w:rPr>
        <w:t>within these factories</w:t>
      </w:r>
      <w:r w:rsidR="0012447A" w:rsidRPr="00404B22">
        <w:rPr>
          <w:sz w:val="24"/>
          <w:szCs w:val="24"/>
        </w:rPr>
        <w:t xml:space="preserve"> </w:t>
      </w:r>
      <w:r w:rsidR="002A571D" w:rsidRPr="00404B22">
        <w:rPr>
          <w:sz w:val="24"/>
          <w:szCs w:val="24"/>
        </w:rPr>
        <w:t>were dismissed as unimportant to the industrialists, with many dangerous or harmful techniques used within their work, leading to many health problems</w:t>
      </w:r>
      <w:r w:rsidR="00C770AD" w:rsidRPr="00404B22">
        <w:rPr>
          <w:sz w:val="24"/>
          <w:szCs w:val="24"/>
        </w:rPr>
        <w:t xml:space="preserve"> that often led to death</w:t>
      </w:r>
      <w:r w:rsidR="009C4AEC" w:rsidRPr="00404B22">
        <w:rPr>
          <w:sz w:val="24"/>
          <w:szCs w:val="24"/>
        </w:rPr>
        <w:t xml:space="preserve"> and disease. </w:t>
      </w:r>
    </w:p>
    <w:p w14:paraId="30D991C3" w14:textId="77777777" w:rsidR="003D092F" w:rsidRPr="007D238E" w:rsidRDefault="003D092F" w:rsidP="007D238E">
      <w:pPr>
        <w:spacing w:line="480" w:lineRule="auto"/>
        <w:rPr>
          <w:sz w:val="24"/>
          <w:szCs w:val="24"/>
        </w:rPr>
      </w:pPr>
    </w:p>
    <w:sdt>
      <w:sdtPr>
        <w:rPr>
          <w:rFonts w:asciiTheme="minorHAnsi" w:eastAsia="Calibri" w:hAnsiTheme="minorHAnsi" w:cstheme="minorBidi"/>
          <w:color w:val="auto"/>
          <w:sz w:val="22"/>
          <w:szCs w:val="22"/>
          <w:lang w:val="en-GB"/>
        </w:rPr>
        <w:id w:val="-232547701"/>
        <w:docPartObj>
          <w:docPartGallery w:val="Bibliographies"/>
          <w:docPartUnique/>
        </w:docPartObj>
      </w:sdtPr>
      <w:sdtEndPr>
        <w:rPr>
          <w:sz w:val="24"/>
          <w:szCs w:val="24"/>
        </w:rPr>
      </w:sdtEndPr>
      <w:sdtContent>
        <w:p w14:paraId="5237E2B3" w14:textId="0D57B6F3" w:rsidR="003D092F" w:rsidRDefault="003D092F">
          <w:pPr>
            <w:pStyle w:val="Heading1"/>
          </w:pPr>
          <w:r>
            <w:t>Bibliography</w:t>
          </w:r>
        </w:p>
        <w:p w14:paraId="6F1AA85E" w14:textId="2C9B41A7" w:rsidR="00277556" w:rsidRDefault="00915A8F" w:rsidP="00003CCE">
          <w:pPr>
            <w:spacing w:line="276" w:lineRule="auto"/>
            <w:rPr>
              <w:sz w:val="24"/>
              <w:szCs w:val="24"/>
              <w:lang w:val="en-US"/>
            </w:rPr>
          </w:pPr>
          <w:r>
            <w:rPr>
              <w:sz w:val="24"/>
              <w:szCs w:val="24"/>
              <w:lang w:val="en-US"/>
            </w:rPr>
            <w:t xml:space="preserve">Blake, William. </w:t>
          </w:r>
          <w:r w:rsidR="006642FB">
            <w:rPr>
              <w:sz w:val="24"/>
              <w:szCs w:val="24"/>
              <w:lang w:val="en-US"/>
            </w:rPr>
            <w:t>“</w:t>
          </w:r>
          <w:r>
            <w:rPr>
              <w:sz w:val="24"/>
              <w:szCs w:val="24"/>
              <w:lang w:val="en-US"/>
            </w:rPr>
            <w:t>The Tyger</w:t>
          </w:r>
          <w:r w:rsidR="006642FB">
            <w:rPr>
              <w:sz w:val="24"/>
              <w:szCs w:val="24"/>
              <w:lang w:val="en-US"/>
            </w:rPr>
            <w:t>”</w:t>
          </w:r>
          <w:r>
            <w:rPr>
              <w:sz w:val="24"/>
              <w:szCs w:val="24"/>
              <w:lang w:val="en-US"/>
            </w:rPr>
            <w:t xml:space="preserve"> in Songs of Experience (1794)</w:t>
          </w:r>
        </w:p>
        <w:p w14:paraId="69370C21" w14:textId="0C63E37B" w:rsidR="009F24D1" w:rsidRDefault="009F24D1" w:rsidP="00003CCE">
          <w:pPr>
            <w:spacing w:line="276" w:lineRule="auto"/>
            <w:rPr>
              <w:sz w:val="24"/>
              <w:szCs w:val="24"/>
              <w:lang w:val="en-US"/>
            </w:rPr>
          </w:pPr>
          <w:r>
            <w:rPr>
              <w:sz w:val="24"/>
              <w:szCs w:val="24"/>
              <w:lang w:val="en-US"/>
            </w:rPr>
            <w:t xml:space="preserve">Dickens, Charles. </w:t>
          </w:r>
          <w:r w:rsidR="000D1468">
            <w:rPr>
              <w:sz w:val="24"/>
              <w:szCs w:val="24"/>
              <w:lang w:val="en-US"/>
            </w:rPr>
            <w:t>Bleak House</w:t>
          </w:r>
          <w:r w:rsidR="000C428D">
            <w:rPr>
              <w:sz w:val="24"/>
              <w:szCs w:val="24"/>
              <w:lang w:val="en-US"/>
            </w:rPr>
            <w:t>. London: Bradbury &amp; Evans</w:t>
          </w:r>
          <w:r w:rsidR="000D1468">
            <w:rPr>
              <w:sz w:val="24"/>
              <w:szCs w:val="24"/>
              <w:lang w:val="en-US"/>
            </w:rPr>
            <w:t xml:space="preserve"> (185</w:t>
          </w:r>
          <w:r w:rsidR="000C428D">
            <w:rPr>
              <w:sz w:val="24"/>
              <w:szCs w:val="24"/>
              <w:lang w:val="en-US"/>
            </w:rPr>
            <w:t>3</w:t>
          </w:r>
          <w:r w:rsidR="000D1468">
            <w:rPr>
              <w:sz w:val="24"/>
              <w:szCs w:val="24"/>
              <w:lang w:val="en-US"/>
            </w:rPr>
            <w:t>)</w:t>
          </w:r>
        </w:p>
        <w:p w14:paraId="4F0637EF" w14:textId="197CF105" w:rsidR="00102DBE" w:rsidRDefault="00102DBE" w:rsidP="00003CCE">
          <w:pPr>
            <w:spacing w:line="276" w:lineRule="auto"/>
            <w:rPr>
              <w:sz w:val="24"/>
              <w:szCs w:val="24"/>
              <w:lang w:val="en-US"/>
            </w:rPr>
          </w:pPr>
          <w:r w:rsidRPr="00102DBE">
            <w:rPr>
              <w:sz w:val="24"/>
              <w:szCs w:val="24"/>
              <w:lang w:val="en-US"/>
            </w:rPr>
            <w:t xml:space="preserve">Greed, </w:t>
          </w:r>
          <w:proofErr w:type="gramStart"/>
          <w:r w:rsidRPr="00102DBE">
            <w:rPr>
              <w:sz w:val="24"/>
              <w:szCs w:val="24"/>
              <w:lang w:val="en-US"/>
            </w:rPr>
            <w:t>Clara</w:t>
          </w:r>
          <w:proofErr w:type="gramEnd"/>
          <w:r w:rsidRPr="00102DBE">
            <w:rPr>
              <w:sz w:val="24"/>
              <w:szCs w:val="24"/>
              <w:lang w:val="en-US"/>
            </w:rPr>
            <w:t xml:space="preserve"> and </w:t>
          </w:r>
          <w:r>
            <w:rPr>
              <w:sz w:val="24"/>
              <w:szCs w:val="24"/>
              <w:lang w:val="en-US"/>
            </w:rPr>
            <w:t>David Johnson. Planning the UK. Bloomsbury Academic (2014)</w:t>
          </w:r>
        </w:p>
        <w:p w14:paraId="763EA5DF" w14:textId="2591B491" w:rsidR="00FE765A" w:rsidRDefault="00FE765A" w:rsidP="00003CCE">
          <w:pPr>
            <w:spacing w:line="276" w:lineRule="auto"/>
            <w:rPr>
              <w:sz w:val="24"/>
              <w:szCs w:val="24"/>
            </w:rPr>
          </w:pPr>
          <w:r>
            <w:rPr>
              <w:sz w:val="24"/>
              <w:szCs w:val="24"/>
            </w:rPr>
            <w:t xml:space="preserve">Heggie, Vanessa. </w:t>
          </w:r>
          <w:r w:rsidRPr="00FE765A">
            <w:rPr>
              <w:i/>
              <w:iCs/>
              <w:sz w:val="24"/>
              <w:szCs w:val="24"/>
            </w:rPr>
            <w:t>Doctors, welfare, and the deadly workhouse.</w:t>
          </w:r>
          <w:r>
            <w:rPr>
              <w:sz w:val="24"/>
              <w:szCs w:val="24"/>
            </w:rPr>
            <w:t xml:space="preserve"> The H word. The Guardian, 27/11/2012</w:t>
          </w:r>
        </w:p>
        <w:p w14:paraId="23566C14" w14:textId="10CF2803" w:rsidR="00F77D6B" w:rsidRPr="00F77D6B" w:rsidRDefault="00F77D6B" w:rsidP="00003CCE">
          <w:pPr>
            <w:spacing w:line="276" w:lineRule="auto"/>
            <w:rPr>
              <w:sz w:val="24"/>
              <w:szCs w:val="24"/>
              <w:lang w:val="en-US"/>
            </w:rPr>
          </w:pPr>
          <w:r>
            <w:rPr>
              <w:sz w:val="24"/>
              <w:szCs w:val="24"/>
            </w:rPr>
            <w:t xml:space="preserve">Kay, </w:t>
          </w:r>
          <w:r w:rsidRPr="00F77D6B">
            <w:rPr>
              <w:sz w:val="24"/>
              <w:szCs w:val="24"/>
            </w:rPr>
            <w:t>James Shuttleworth</w:t>
          </w:r>
          <w:r>
            <w:rPr>
              <w:sz w:val="24"/>
              <w:szCs w:val="24"/>
            </w:rPr>
            <w:t>.</w:t>
          </w:r>
          <w:r w:rsidRPr="00F77D6B">
            <w:rPr>
              <w:sz w:val="24"/>
              <w:szCs w:val="24"/>
            </w:rPr>
            <w:t xml:space="preserve"> </w:t>
          </w:r>
          <w:r w:rsidRPr="00F77D6B">
            <w:rPr>
              <w:rFonts w:cstheme="minorHAnsi"/>
              <w:i/>
              <w:iCs/>
              <w:sz w:val="24"/>
              <w:szCs w:val="24"/>
              <w:lang w:val="en"/>
            </w:rPr>
            <w:t>The Moral and Physical Condition of the Working Classes employed in the Cotton Manufacture in Manchester</w:t>
          </w:r>
          <w:r w:rsidRPr="00F77D6B">
            <w:rPr>
              <w:rFonts w:cstheme="minorHAnsi"/>
              <w:sz w:val="24"/>
              <w:szCs w:val="24"/>
              <w:lang w:val="en"/>
            </w:rPr>
            <w:t xml:space="preserve"> (1832)</w:t>
          </w:r>
        </w:p>
        <w:sdt>
          <w:sdtPr>
            <w:rPr>
              <w:sz w:val="24"/>
              <w:szCs w:val="24"/>
            </w:rPr>
            <w:id w:val="111145805"/>
            <w:bibliography/>
          </w:sdtPr>
          <w:sdtContent>
            <w:p w14:paraId="17B2783B" w14:textId="2AB603C0" w:rsidR="00A56499" w:rsidRPr="00003CCE" w:rsidRDefault="000C591D" w:rsidP="006253D3">
              <w:pPr>
                <w:pStyle w:val="NoSpacing"/>
                <w:spacing w:line="480" w:lineRule="auto"/>
                <w:jc w:val="both"/>
                <w:rPr>
                  <w:sz w:val="24"/>
                  <w:szCs w:val="24"/>
                </w:rPr>
              </w:pPr>
              <w:r w:rsidRPr="00495592">
                <w:rPr>
                  <w:sz w:val="24"/>
                  <w:szCs w:val="24"/>
                </w:rPr>
                <w:t xml:space="preserve">Hunt, Tristram. Building Jerusalem: </w:t>
              </w:r>
              <w:proofErr w:type="gramStart"/>
              <w:r w:rsidRPr="00495592">
                <w:rPr>
                  <w:sz w:val="24"/>
                  <w:szCs w:val="24"/>
                </w:rPr>
                <w:t>the</w:t>
              </w:r>
              <w:proofErr w:type="gramEnd"/>
              <w:r w:rsidRPr="00495592">
                <w:rPr>
                  <w:sz w:val="24"/>
                  <w:szCs w:val="24"/>
                </w:rPr>
                <w:t xml:space="preserve"> Rise and Fall of the Victorian City. London: Phoenix (2005)</w:t>
              </w:r>
            </w:p>
            <w:p w14:paraId="46705B74" w14:textId="785E7708" w:rsidR="00A56499" w:rsidRPr="006253D3" w:rsidRDefault="00A56499" w:rsidP="006253D3">
              <w:pPr>
                <w:pStyle w:val="NoSpacing"/>
                <w:spacing w:line="480" w:lineRule="auto"/>
                <w:jc w:val="both"/>
                <w:rPr>
                  <w:sz w:val="24"/>
                  <w:szCs w:val="24"/>
                </w:rPr>
              </w:pPr>
              <w:r>
                <w:rPr>
                  <w:rFonts w:cstheme="minorHAnsi"/>
                  <w:sz w:val="24"/>
                  <w:szCs w:val="24"/>
                </w:rPr>
                <w:t xml:space="preserve">Marx, Karl. </w:t>
              </w:r>
              <w:r w:rsidRPr="00A56499">
                <w:rPr>
                  <w:sz w:val="24"/>
                  <w:szCs w:val="24"/>
                </w:rPr>
                <w:t>Capital: The Communist Manifesto and Other Writings (1932)</w:t>
              </w:r>
            </w:p>
            <w:p w14:paraId="5D5DDF53" w14:textId="42790372" w:rsidR="00495592" w:rsidRDefault="00495592" w:rsidP="006253D3">
              <w:pPr>
                <w:pStyle w:val="NoSpacing"/>
                <w:spacing w:line="480" w:lineRule="auto"/>
                <w:jc w:val="both"/>
                <w:rPr>
                  <w:rFonts w:cstheme="minorHAnsi"/>
                  <w:sz w:val="24"/>
                  <w:szCs w:val="24"/>
                </w:rPr>
              </w:pPr>
              <w:r w:rsidRPr="00495592">
                <w:rPr>
                  <w:rFonts w:cstheme="minorHAnsi"/>
                  <w:sz w:val="24"/>
                  <w:szCs w:val="24"/>
                </w:rPr>
                <w:t>Miles, Mal</w:t>
              </w:r>
              <w:r>
                <w:rPr>
                  <w:rFonts w:cstheme="minorHAnsi"/>
                  <w:sz w:val="24"/>
                  <w:szCs w:val="24"/>
                </w:rPr>
                <w:t>colm. Cities and Cultures. London: Routledge (2007)</w:t>
              </w:r>
            </w:p>
            <w:p w14:paraId="1F4D5FBA" w14:textId="5476AF77" w:rsidR="004A7203" w:rsidRDefault="004A7203" w:rsidP="006253D3">
              <w:pPr>
                <w:pStyle w:val="NoSpacing"/>
                <w:spacing w:line="480" w:lineRule="auto"/>
                <w:jc w:val="both"/>
                <w:rPr>
                  <w:rFonts w:cstheme="minorHAnsi"/>
                  <w:sz w:val="24"/>
                  <w:szCs w:val="24"/>
                </w:rPr>
              </w:pPr>
              <w:r>
                <w:rPr>
                  <w:rFonts w:cstheme="minorHAnsi"/>
                  <w:sz w:val="24"/>
                  <w:szCs w:val="24"/>
                </w:rPr>
                <w:t>Recollections of Henry Broadhurst, an Oxfordshire Stone Mason</w:t>
              </w:r>
              <w:r w:rsidR="008E298D">
                <w:rPr>
                  <w:rFonts w:cstheme="minorHAnsi"/>
                  <w:sz w:val="24"/>
                  <w:szCs w:val="24"/>
                </w:rPr>
                <w:t xml:space="preserve"> (1840-1911)</w:t>
              </w:r>
            </w:p>
            <w:p w14:paraId="1C8F4A75" w14:textId="471C58C5" w:rsidR="002C235D" w:rsidRDefault="00495592" w:rsidP="006253D3">
              <w:pPr>
                <w:pStyle w:val="NoSpacing"/>
                <w:spacing w:line="480" w:lineRule="auto"/>
                <w:jc w:val="both"/>
                <w:rPr>
                  <w:rFonts w:cstheme="minorHAnsi"/>
                  <w:sz w:val="24"/>
                  <w:szCs w:val="24"/>
                </w:rPr>
              </w:pPr>
              <w:r>
                <w:rPr>
                  <w:rFonts w:cstheme="minorHAnsi"/>
                  <w:sz w:val="24"/>
                  <w:szCs w:val="24"/>
                </w:rPr>
                <w:t>Robinson, Jennifer. Ordinary Cities. London: Routledge (2006)</w:t>
              </w:r>
            </w:p>
            <w:p w14:paraId="4500C78A" w14:textId="40283655" w:rsidR="003D092F" w:rsidRPr="00495592" w:rsidRDefault="002C235D" w:rsidP="006253D3">
              <w:pPr>
                <w:pStyle w:val="NoSpacing"/>
                <w:spacing w:line="480" w:lineRule="auto"/>
                <w:jc w:val="both"/>
                <w:rPr>
                  <w:rFonts w:cstheme="minorHAnsi"/>
                  <w:sz w:val="24"/>
                  <w:szCs w:val="24"/>
                </w:rPr>
              </w:pPr>
              <w:r w:rsidRPr="002C235D">
                <w:rPr>
                  <w:sz w:val="24"/>
                  <w:szCs w:val="24"/>
                </w:rPr>
                <w:t>Victorian Cities Lecture, Source Sheet. Source 14: Growth of Principle Cities 1800-1841</w:t>
              </w:r>
            </w:p>
          </w:sdtContent>
        </w:sdt>
      </w:sdtContent>
    </w:sdt>
    <w:p w14:paraId="5FBF419E" w14:textId="77777777" w:rsidR="003D092F" w:rsidRDefault="003D092F" w:rsidP="00EF285A"/>
    <w:p w14:paraId="7D15D9AF" w14:textId="77777777" w:rsidR="00BF7F1E" w:rsidRDefault="00BF7F1E" w:rsidP="00EF285A"/>
    <w:p w14:paraId="074E504A" w14:textId="77777777" w:rsidR="00BF7F1E" w:rsidRDefault="00BF7F1E" w:rsidP="00EF285A"/>
    <w:p w14:paraId="363F8481" w14:textId="77777777" w:rsidR="00BF7F1E" w:rsidRDefault="00BF7F1E" w:rsidP="00EF285A"/>
    <w:p w14:paraId="31BAAAB3" w14:textId="77777777" w:rsidR="00BF7F1E" w:rsidRDefault="00BF7F1E" w:rsidP="00EF285A"/>
    <w:p w14:paraId="43694615" w14:textId="77777777" w:rsidR="00985DA9" w:rsidRDefault="00985DA9" w:rsidP="00EF285A"/>
    <w:p w14:paraId="2E413BBC" w14:textId="77777777" w:rsidR="00985DA9" w:rsidRDefault="00985DA9" w:rsidP="00EF285A"/>
    <w:p w14:paraId="0D9B1D4A" w14:textId="77777777" w:rsidR="00985DA9" w:rsidRDefault="00985DA9" w:rsidP="00EF285A"/>
    <w:p w14:paraId="50300AA1" w14:textId="77777777" w:rsidR="00985DA9" w:rsidRDefault="00985DA9" w:rsidP="00EF285A"/>
    <w:p w14:paraId="58310F03" w14:textId="77777777" w:rsidR="00985DA9" w:rsidRDefault="00985DA9" w:rsidP="00EF285A"/>
    <w:p w14:paraId="08DE5E1D" w14:textId="77777777" w:rsidR="00BF7F1E" w:rsidRDefault="00BF7F1E" w:rsidP="00EF285A"/>
    <w:p w14:paraId="767E018C" w14:textId="3D1358A7" w:rsidR="00BF7F1E" w:rsidRPr="00460E27" w:rsidRDefault="00C17282" w:rsidP="00EF285A">
      <w:pPr>
        <w:rPr>
          <w:b/>
          <w:bCs/>
          <w:sz w:val="24"/>
          <w:szCs w:val="24"/>
        </w:rPr>
      </w:pPr>
      <w:r w:rsidRPr="00460E27">
        <w:rPr>
          <w:b/>
          <w:bCs/>
          <w:sz w:val="24"/>
          <w:szCs w:val="24"/>
        </w:rPr>
        <w:lastRenderedPageBreak/>
        <w:t xml:space="preserve">“Companion to Man”: </w:t>
      </w:r>
      <w:r w:rsidR="002500B7" w:rsidRPr="00460E27">
        <w:rPr>
          <w:b/>
          <w:bCs/>
          <w:sz w:val="24"/>
          <w:szCs w:val="24"/>
        </w:rPr>
        <w:t xml:space="preserve">To what extent does this description adequately capture the reality of women’s lives in Victorian Britain?’ </w:t>
      </w:r>
    </w:p>
    <w:p w14:paraId="2B32592B" w14:textId="6823F595" w:rsidR="002500B7" w:rsidRDefault="002500B7" w:rsidP="00EF285A">
      <w:pPr>
        <w:rPr>
          <w:b/>
          <w:bCs/>
          <w:sz w:val="24"/>
          <w:szCs w:val="24"/>
        </w:rPr>
      </w:pPr>
    </w:p>
    <w:p w14:paraId="5FDB8E6B" w14:textId="2F9E2966" w:rsidR="00091D1F" w:rsidRPr="00033A5E" w:rsidRDefault="007E07C3" w:rsidP="007E07C3">
      <w:pPr>
        <w:spacing w:line="480" w:lineRule="auto"/>
        <w:rPr>
          <w:sz w:val="24"/>
          <w:szCs w:val="24"/>
        </w:rPr>
      </w:pPr>
      <w:r w:rsidRPr="00033A5E">
        <w:rPr>
          <w:sz w:val="24"/>
          <w:szCs w:val="24"/>
        </w:rPr>
        <w:t>In the Victorian era, women were restricted financially by lack of independence from their father, husband, and their male kin</w:t>
      </w:r>
      <w:r w:rsidR="00B55FB4" w:rsidRPr="00033A5E">
        <w:rPr>
          <w:sz w:val="24"/>
          <w:szCs w:val="24"/>
        </w:rPr>
        <w:t>,</w:t>
      </w:r>
      <w:r w:rsidRPr="00033A5E">
        <w:rPr>
          <w:sz w:val="24"/>
          <w:szCs w:val="24"/>
        </w:rPr>
        <w:t xml:space="preserve"> with lack of a</w:t>
      </w:r>
      <w:r w:rsidR="00B55FB4" w:rsidRPr="00033A5E">
        <w:rPr>
          <w:sz w:val="24"/>
          <w:szCs w:val="24"/>
        </w:rPr>
        <w:t xml:space="preserve">ccess to their </w:t>
      </w:r>
      <w:r w:rsidRPr="00033A5E">
        <w:rPr>
          <w:sz w:val="24"/>
          <w:szCs w:val="24"/>
        </w:rPr>
        <w:t>wage</w:t>
      </w:r>
      <w:r w:rsidR="00B55FB4" w:rsidRPr="00033A5E">
        <w:rPr>
          <w:sz w:val="24"/>
          <w:szCs w:val="24"/>
        </w:rPr>
        <w:t>s</w:t>
      </w:r>
      <w:r w:rsidRPr="00033A5E">
        <w:rPr>
          <w:sz w:val="24"/>
          <w:szCs w:val="24"/>
        </w:rPr>
        <w:t xml:space="preserve"> if they did work. Women’s wages and property were owned by their father then their husband</w:t>
      </w:r>
      <w:r w:rsidR="00F57E45" w:rsidRPr="00033A5E">
        <w:rPr>
          <w:sz w:val="24"/>
          <w:szCs w:val="24"/>
        </w:rPr>
        <w:t>,</w:t>
      </w:r>
      <w:r w:rsidRPr="00033A5E">
        <w:rPr>
          <w:sz w:val="24"/>
          <w:szCs w:val="24"/>
        </w:rPr>
        <w:t xml:space="preserve"> if they married, suggesting that the description of women as “companion to man” is adequate in terms of the socio-economic structure of society. Victorian </w:t>
      </w:r>
      <w:r w:rsidR="00B12035" w:rsidRPr="00033A5E">
        <w:rPr>
          <w:sz w:val="24"/>
          <w:szCs w:val="24"/>
        </w:rPr>
        <w:t>Britain</w:t>
      </w:r>
      <w:r w:rsidRPr="00033A5E">
        <w:rPr>
          <w:sz w:val="24"/>
          <w:szCs w:val="24"/>
        </w:rPr>
        <w:t xml:space="preserve"> ‘emphasises the ideals of female domesticity and male breadwinning,’</w:t>
      </w:r>
      <w:r w:rsidR="002E13AF" w:rsidRPr="00033A5E">
        <w:rPr>
          <w:sz w:val="24"/>
          <w:szCs w:val="24"/>
        </w:rPr>
        <w:t xml:space="preserve"> within all classes of </w:t>
      </w:r>
      <w:r w:rsidR="00B12035" w:rsidRPr="00033A5E">
        <w:rPr>
          <w:sz w:val="24"/>
          <w:szCs w:val="24"/>
        </w:rPr>
        <w:t>people</w:t>
      </w:r>
      <w:r w:rsidR="002E13AF" w:rsidRPr="00033A5E">
        <w:rPr>
          <w:sz w:val="24"/>
          <w:szCs w:val="24"/>
        </w:rPr>
        <w:t xml:space="preserve"> in the societal structure</w:t>
      </w:r>
      <w:r w:rsidR="002636E5" w:rsidRPr="00033A5E">
        <w:rPr>
          <w:rStyle w:val="FootnoteReference"/>
          <w:sz w:val="24"/>
          <w:szCs w:val="24"/>
        </w:rPr>
        <w:footnoteReference w:id="15"/>
      </w:r>
      <w:r w:rsidR="002E13AF" w:rsidRPr="00033A5E">
        <w:rPr>
          <w:sz w:val="24"/>
          <w:szCs w:val="24"/>
        </w:rPr>
        <w:t xml:space="preserve">. </w:t>
      </w:r>
      <w:r w:rsidR="00CB07AE" w:rsidRPr="00033A5E">
        <w:rPr>
          <w:sz w:val="24"/>
          <w:szCs w:val="24"/>
        </w:rPr>
        <w:t>While</w:t>
      </w:r>
      <w:r w:rsidR="00D731AE" w:rsidRPr="00033A5E">
        <w:rPr>
          <w:sz w:val="24"/>
          <w:szCs w:val="24"/>
        </w:rPr>
        <w:t xml:space="preserve"> </w:t>
      </w:r>
      <w:r w:rsidR="00CB07AE" w:rsidRPr="00033A5E">
        <w:rPr>
          <w:sz w:val="24"/>
          <w:szCs w:val="24"/>
        </w:rPr>
        <w:t>l</w:t>
      </w:r>
      <w:r w:rsidR="00BA0F30" w:rsidRPr="00033A5E">
        <w:rPr>
          <w:sz w:val="24"/>
          <w:szCs w:val="24"/>
        </w:rPr>
        <w:t>ower class w</w:t>
      </w:r>
      <w:r w:rsidR="00D731AE" w:rsidRPr="00033A5E">
        <w:rPr>
          <w:sz w:val="24"/>
          <w:szCs w:val="24"/>
        </w:rPr>
        <w:t>omen in V</w:t>
      </w:r>
      <w:r w:rsidR="00BA0F30" w:rsidRPr="00033A5E">
        <w:rPr>
          <w:sz w:val="24"/>
          <w:szCs w:val="24"/>
        </w:rPr>
        <w:t>ictorian Britain were ‘expected to work to support themselves</w:t>
      </w:r>
      <w:r w:rsidR="001B423B" w:rsidRPr="00033A5E">
        <w:rPr>
          <w:sz w:val="24"/>
          <w:szCs w:val="24"/>
        </w:rPr>
        <w:t>…</w:t>
      </w:r>
      <w:r w:rsidR="00DE41FF" w:rsidRPr="00033A5E">
        <w:rPr>
          <w:sz w:val="24"/>
          <w:szCs w:val="24"/>
        </w:rPr>
        <w:t xml:space="preserve"> </w:t>
      </w:r>
      <w:r w:rsidR="001B423B" w:rsidRPr="00033A5E">
        <w:rPr>
          <w:sz w:val="24"/>
          <w:szCs w:val="24"/>
        </w:rPr>
        <w:t>[While] they were imagined to be physically weaker th</w:t>
      </w:r>
      <w:r w:rsidR="003325BD" w:rsidRPr="00033A5E">
        <w:rPr>
          <w:sz w:val="24"/>
          <w:szCs w:val="24"/>
        </w:rPr>
        <w:t>a</w:t>
      </w:r>
      <w:r w:rsidR="001B423B" w:rsidRPr="00033A5E">
        <w:rPr>
          <w:sz w:val="24"/>
          <w:szCs w:val="24"/>
        </w:rPr>
        <w:t>n men</w:t>
      </w:r>
      <w:r w:rsidR="00286968" w:rsidRPr="00033A5E">
        <w:rPr>
          <w:sz w:val="24"/>
          <w:szCs w:val="24"/>
        </w:rPr>
        <w:t>.</w:t>
      </w:r>
      <w:r w:rsidR="001B423B" w:rsidRPr="00033A5E">
        <w:rPr>
          <w:sz w:val="24"/>
          <w:szCs w:val="24"/>
        </w:rPr>
        <w:t>’</w:t>
      </w:r>
      <w:r w:rsidR="001B423B" w:rsidRPr="00033A5E">
        <w:rPr>
          <w:rStyle w:val="FootnoteReference"/>
          <w:sz w:val="24"/>
          <w:szCs w:val="24"/>
        </w:rPr>
        <w:footnoteReference w:id="16"/>
      </w:r>
      <w:r w:rsidR="00A747BD" w:rsidRPr="00033A5E">
        <w:rPr>
          <w:sz w:val="24"/>
          <w:szCs w:val="24"/>
        </w:rPr>
        <w:t xml:space="preserve"> Femininity in </w:t>
      </w:r>
      <w:r w:rsidR="007749BB" w:rsidRPr="00033A5E">
        <w:rPr>
          <w:sz w:val="24"/>
          <w:szCs w:val="24"/>
        </w:rPr>
        <w:t>the 1800</w:t>
      </w:r>
      <w:r w:rsidR="00B12035" w:rsidRPr="00033A5E">
        <w:rPr>
          <w:sz w:val="24"/>
          <w:szCs w:val="24"/>
        </w:rPr>
        <w:t>s</w:t>
      </w:r>
      <w:r w:rsidR="007749BB" w:rsidRPr="00033A5E">
        <w:rPr>
          <w:sz w:val="24"/>
          <w:szCs w:val="24"/>
        </w:rPr>
        <w:t xml:space="preserve"> meant ‘dependence, subordinate status, domesticity, and sexual modesty</w:t>
      </w:r>
      <w:r w:rsidR="00B12035" w:rsidRPr="00033A5E">
        <w:rPr>
          <w:sz w:val="24"/>
          <w:szCs w:val="24"/>
        </w:rPr>
        <w:t>,</w:t>
      </w:r>
      <w:r w:rsidR="00BD0907" w:rsidRPr="00033A5E">
        <w:rPr>
          <w:sz w:val="24"/>
          <w:szCs w:val="24"/>
        </w:rPr>
        <w:t xml:space="preserve">’ the emphasis on </w:t>
      </w:r>
      <w:r w:rsidR="004E0C50" w:rsidRPr="00033A5E">
        <w:rPr>
          <w:sz w:val="24"/>
          <w:szCs w:val="24"/>
        </w:rPr>
        <w:t>domesticity</w:t>
      </w:r>
      <w:r w:rsidR="00BD0907" w:rsidRPr="00033A5E">
        <w:rPr>
          <w:sz w:val="24"/>
          <w:szCs w:val="24"/>
        </w:rPr>
        <w:t xml:space="preserve"> was </w:t>
      </w:r>
      <w:r w:rsidR="004E0C50" w:rsidRPr="00033A5E">
        <w:rPr>
          <w:sz w:val="24"/>
          <w:szCs w:val="24"/>
        </w:rPr>
        <w:t xml:space="preserve">especially prominent ‘until the 1860s </w:t>
      </w:r>
      <w:r w:rsidR="005A4E5D" w:rsidRPr="00033A5E">
        <w:rPr>
          <w:sz w:val="24"/>
          <w:szCs w:val="24"/>
        </w:rPr>
        <w:t>[as] women were expected to marry and to avoid work</w:t>
      </w:r>
      <w:r w:rsidR="00E3268D" w:rsidRPr="00033A5E">
        <w:rPr>
          <w:sz w:val="24"/>
          <w:szCs w:val="24"/>
        </w:rPr>
        <w:t>.’</w:t>
      </w:r>
      <w:r w:rsidR="007749BB" w:rsidRPr="00033A5E">
        <w:rPr>
          <w:rStyle w:val="FootnoteReference"/>
          <w:sz w:val="24"/>
          <w:szCs w:val="24"/>
        </w:rPr>
        <w:footnoteReference w:id="17"/>
      </w:r>
      <w:r w:rsidR="00E3268D" w:rsidRPr="00033A5E">
        <w:rPr>
          <w:sz w:val="24"/>
          <w:szCs w:val="24"/>
        </w:rPr>
        <w:t xml:space="preserve"> </w:t>
      </w:r>
      <w:r w:rsidR="008C0203" w:rsidRPr="00033A5E">
        <w:rPr>
          <w:sz w:val="24"/>
          <w:szCs w:val="24"/>
        </w:rPr>
        <w:t xml:space="preserve">This dependence on their male kin extended </w:t>
      </w:r>
      <w:r w:rsidR="0018349B" w:rsidRPr="00033A5E">
        <w:rPr>
          <w:sz w:val="24"/>
          <w:szCs w:val="24"/>
        </w:rPr>
        <w:t>to dependence on their husband,</w:t>
      </w:r>
      <w:r w:rsidR="00DB5514" w:rsidRPr="00033A5E">
        <w:rPr>
          <w:sz w:val="24"/>
          <w:szCs w:val="24"/>
        </w:rPr>
        <w:t xml:space="preserve"> with</w:t>
      </w:r>
      <w:r w:rsidR="0018349B" w:rsidRPr="00033A5E">
        <w:rPr>
          <w:sz w:val="24"/>
          <w:szCs w:val="24"/>
        </w:rPr>
        <w:t xml:space="preserve"> ‘married women</w:t>
      </w:r>
      <w:r w:rsidR="00DB5514" w:rsidRPr="00033A5E">
        <w:rPr>
          <w:sz w:val="24"/>
          <w:szCs w:val="24"/>
        </w:rPr>
        <w:t>… h</w:t>
      </w:r>
      <w:r w:rsidR="00E76EB2" w:rsidRPr="00033A5E">
        <w:rPr>
          <w:sz w:val="24"/>
          <w:szCs w:val="24"/>
        </w:rPr>
        <w:t>ad</w:t>
      </w:r>
      <w:r w:rsidR="00DB5514" w:rsidRPr="00033A5E">
        <w:rPr>
          <w:sz w:val="24"/>
          <w:szCs w:val="24"/>
        </w:rPr>
        <w:t xml:space="preserve"> very different legal rights from men and single women’</w:t>
      </w:r>
      <w:r w:rsidR="00345486" w:rsidRPr="00033A5E">
        <w:rPr>
          <w:sz w:val="24"/>
          <w:szCs w:val="24"/>
        </w:rPr>
        <w:t xml:space="preserve"> as they </w:t>
      </w:r>
      <w:r w:rsidR="006A2E04" w:rsidRPr="00033A5E">
        <w:rPr>
          <w:sz w:val="24"/>
          <w:szCs w:val="24"/>
        </w:rPr>
        <w:t xml:space="preserve">could not ‘legally own any property’ with </w:t>
      </w:r>
      <w:r w:rsidR="00A35670" w:rsidRPr="00033A5E">
        <w:rPr>
          <w:sz w:val="24"/>
          <w:szCs w:val="24"/>
        </w:rPr>
        <w:t>laws concerning ‘marriage, property, and gender could also weigh heavily on men.’</w:t>
      </w:r>
      <w:r w:rsidR="00DB5514" w:rsidRPr="00033A5E">
        <w:rPr>
          <w:rStyle w:val="FootnoteReference"/>
          <w:sz w:val="24"/>
          <w:szCs w:val="24"/>
        </w:rPr>
        <w:footnoteReference w:id="18"/>
      </w:r>
      <w:r w:rsidR="00345486" w:rsidRPr="00033A5E">
        <w:rPr>
          <w:sz w:val="24"/>
          <w:szCs w:val="24"/>
        </w:rPr>
        <w:t xml:space="preserve"> </w:t>
      </w:r>
      <w:r w:rsidR="00A07E6B" w:rsidRPr="00033A5E">
        <w:rPr>
          <w:sz w:val="24"/>
          <w:szCs w:val="24"/>
        </w:rPr>
        <w:t xml:space="preserve">With these </w:t>
      </w:r>
      <w:r w:rsidR="00534E01" w:rsidRPr="00033A5E">
        <w:rPr>
          <w:sz w:val="24"/>
          <w:szCs w:val="24"/>
        </w:rPr>
        <w:t xml:space="preserve">restrictive laws some feminists </w:t>
      </w:r>
      <w:r w:rsidR="0085792D" w:rsidRPr="00033A5E">
        <w:rPr>
          <w:sz w:val="24"/>
          <w:szCs w:val="24"/>
        </w:rPr>
        <w:t xml:space="preserve">argue that women in Victorian Britain were ‘doubly disqualified from voting </w:t>
      </w:r>
      <w:r w:rsidR="00557B3E" w:rsidRPr="00033A5E">
        <w:rPr>
          <w:sz w:val="24"/>
          <w:szCs w:val="24"/>
        </w:rPr>
        <w:t>– once as a woman, and once as persons who did not own property.’</w:t>
      </w:r>
      <w:r w:rsidR="00557B3E" w:rsidRPr="00033A5E">
        <w:rPr>
          <w:rStyle w:val="FootnoteReference"/>
          <w:sz w:val="24"/>
          <w:szCs w:val="24"/>
        </w:rPr>
        <w:footnoteReference w:id="19"/>
      </w:r>
      <w:r w:rsidR="00BF7091" w:rsidRPr="00033A5E">
        <w:rPr>
          <w:sz w:val="24"/>
          <w:szCs w:val="24"/>
        </w:rPr>
        <w:t xml:space="preserve"> </w:t>
      </w:r>
      <w:r w:rsidR="00584C23" w:rsidRPr="00033A5E">
        <w:rPr>
          <w:sz w:val="24"/>
          <w:szCs w:val="24"/>
        </w:rPr>
        <w:t xml:space="preserve">This lack </w:t>
      </w:r>
      <w:r w:rsidR="00A36D17" w:rsidRPr="00033A5E">
        <w:rPr>
          <w:sz w:val="24"/>
          <w:szCs w:val="24"/>
        </w:rPr>
        <w:t xml:space="preserve">of suffrage created an obstacle for change as women weren’t allowed to have a voice, they were expected to </w:t>
      </w:r>
      <w:r w:rsidR="001047CD" w:rsidRPr="00033A5E">
        <w:rPr>
          <w:sz w:val="24"/>
          <w:szCs w:val="24"/>
        </w:rPr>
        <w:t>be the submissive inferior to men</w:t>
      </w:r>
      <w:r w:rsidR="00D9620D" w:rsidRPr="00033A5E">
        <w:rPr>
          <w:sz w:val="24"/>
          <w:szCs w:val="24"/>
        </w:rPr>
        <w:t>. Hist</w:t>
      </w:r>
      <w:r w:rsidR="00686697" w:rsidRPr="00033A5E">
        <w:rPr>
          <w:sz w:val="24"/>
          <w:szCs w:val="24"/>
        </w:rPr>
        <w:t>ori</w:t>
      </w:r>
      <w:r w:rsidR="00D9620D" w:rsidRPr="00033A5E">
        <w:rPr>
          <w:sz w:val="24"/>
          <w:szCs w:val="24"/>
        </w:rPr>
        <w:t xml:space="preserve">cally and within Victorian Britain the description of “companion to man” is an adequate </w:t>
      </w:r>
      <w:r w:rsidR="00B357E2" w:rsidRPr="00033A5E">
        <w:rPr>
          <w:sz w:val="24"/>
          <w:szCs w:val="24"/>
        </w:rPr>
        <w:t xml:space="preserve">descriptor </w:t>
      </w:r>
      <w:r w:rsidR="00686697" w:rsidRPr="00033A5E">
        <w:rPr>
          <w:sz w:val="24"/>
          <w:szCs w:val="24"/>
        </w:rPr>
        <w:t xml:space="preserve">of </w:t>
      </w:r>
      <w:r w:rsidR="00B507F4" w:rsidRPr="00033A5E">
        <w:rPr>
          <w:sz w:val="24"/>
          <w:szCs w:val="24"/>
        </w:rPr>
        <w:t xml:space="preserve">the reality of women’s lives, </w:t>
      </w:r>
      <w:r w:rsidR="00B357E2" w:rsidRPr="00033A5E">
        <w:rPr>
          <w:sz w:val="24"/>
          <w:szCs w:val="24"/>
        </w:rPr>
        <w:t>due to women’s inability to challenge legally and socially</w:t>
      </w:r>
      <w:r w:rsidR="00CC1A4A" w:rsidRPr="00033A5E">
        <w:rPr>
          <w:sz w:val="24"/>
          <w:szCs w:val="24"/>
        </w:rPr>
        <w:t>, l</w:t>
      </w:r>
      <w:r w:rsidR="007C1609" w:rsidRPr="00033A5E">
        <w:rPr>
          <w:sz w:val="24"/>
          <w:szCs w:val="24"/>
        </w:rPr>
        <w:t xml:space="preserve">eading to the Suffragist and Suffragette Movements </w:t>
      </w:r>
      <w:r w:rsidR="00CC1A4A" w:rsidRPr="00033A5E">
        <w:rPr>
          <w:sz w:val="24"/>
          <w:szCs w:val="24"/>
        </w:rPr>
        <w:t>post-Victorian Britain in 1903 across Britain.</w:t>
      </w:r>
    </w:p>
    <w:p w14:paraId="17882F62" w14:textId="77777777" w:rsidR="00614196" w:rsidRPr="00033A5E" w:rsidRDefault="00614196" w:rsidP="00614196">
      <w:pPr>
        <w:spacing w:line="480" w:lineRule="auto"/>
        <w:rPr>
          <w:sz w:val="24"/>
          <w:szCs w:val="24"/>
        </w:rPr>
      </w:pPr>
    </w:p>
    <w:p w14:paraId="5E8E8F8D" w14:textId="610BEBEA" w:rsidR="00614196" w:rsidRPr="00033A5E" w:rsidRDefault="00614196" w:rsidP="00614196">
      <w:pPr>
        <w:spacing w:line="480" w:lineRule="auto"/>
        <w:rPr>
          <w:sz w:val="24"/>
          <w:szCs w:val="24"/>
        </w:rPr>
      </w:pPr>
      <w:r w:rsidRPr="00033A5E">
        <w:rPr>
          <w:sz w:val="24"/>
          <w:szCs w:val="24"/>
        </w:rPr>
        <w:lastRenderedPageBreak/>
        <w:t xml:space="preserve">The </w:t>
      </w:r>
      <w:r w:rsidR="00003CCE" w:rsidRPr="00033A5E">
        <w:rPr>
          <w:sz w:val="24"/>
          <w:szCs w:val="24"/>
        </w:rPr>
        <w:t>I</w:t>
      </w:r>
      <w:r w:rsidRPr="00033A5E">
        <w:rPr>
          <w:sz w:val="24"/>
          <w:szCs w:val="24"/>
        </w:rPr>
        <w:t xml:space="preserve">ndustrial </w:t>
      </w:r>
      <w:r w:rsidR="00003CCE" w:rsidRPr="00033A5E">
        <w:rPr>
          <w:sz w:val="24"/>
          <w:szCs w:val="24"/>
        </w:rPr>
        <w:t>R</w:t>
      </w:r>
      <w:r w:rsidRPr="00033A5E">
        <w:rPr>
          <w:sz w:val="24"/>
          <w:szCs w:val="24"/>
        </w:rPr>
        <w:t xml:space="preserve">evolution’s impact on women’s work ‘was most dramatic for white-collar workers, not for factory operatives’, In 1816 women’s labour force was at ‘34.1%’ then declined in 1911 </w:t>
      </w:r>
      <w:r w:rsidR="00E76EB2" w:rsidRPr="00033A5E">
        <w:rPr>
          <w:sz w:val="24"/>
          <w:szCs w:val="24"/>
        </w:rPr>
        <w:t xml:space="preserve">at </w:t>
      </w:r>
      <w:r w:rsidRPr="00033A5E">
        <w:rPr>
          <w:sz w:val="24"/>
          <w:szCs w:val="24"/>
        </w:rPr>
        <w:t>‘29.7%.’</w:t>
      </w:r>
      <w:r w:rsidRPr="00033A5E">
        <w:rPr>
          <w:rStyle w:val="FootnoteReference"/>
          <w:sz w:val="24"/>
          <w:szCs w:val="24"/>
        </w:rPr>
        <w:footnoteReference w:id="20"/>
      </w:r>
      <w:r w:rsidRPr="00033A5E">
        <w:rPr>
          <w:sz w:val="24"/>
          <w:szCs w:val="24"/>
        </w:rPr>
        <w:t xml:space="preserve"> However, the percentage</w:t>
      </w:r>
      <w:r w:rsidR="00E76EB2" w:rsidRPr="00033A5E">
        <w:rPr>
          <w:sz w:val="24"/>
          <w:szCs w:val="24"/>
        </w:rPr>
        <w:t xml:space="preserve"> of </w:t>
      </w:r>
      <w:r w:rsidRPr="00033A5E">
        <w:rPr>
          <w:sz w:val="24"/>
          <w:szCs w:val="24"/>
        </w:rPr>
        <w:t>female ‘teachers, shop assistants, clerks, and civil servants rose from ‘26.1%’ to ‘32.9%’ in the same time frame.</w:t>
      </w:r>
      <w:r w:rsidRPr="00033A5E">
        <w:rPr>
          <w:rStyle w:val="FootnoteReference"/>
          <w:sz w:val="24"/>
          <w:szCs w:val="24"/>
        </w:rPr>
        <w:footnoteReference w:id="21"/>
      </w:r>
      <w:r w:rsidRPr="00033A5E">
        <w:rPr>
          <w:sz w:val="24"/>
          <w:szCs w:val="24"/>
        </w:rPr>
        <w:t xml:space="preserve"> Development of factories and machines is often argued to have ‘propelled women from their traditional place at home to a wage-earning position in the larger world.’</w:t>
      </w:r>
      <w:r w:rsidRPr="00033A5E">
        <w:rPr>
          <w:rStyle w:val="FootnoteReference"/>
          <w:sz w:val="24"/>
          <w:szCs w:val="24"/>
        </w:rPr>
        <w:footnoteReference w:id="22"/>
      </w:r>
      <w:r w:rsidRPr="00033A5E">
        <w:rPr>
          <w:sz w:val="24"/>
          <w:szCs w:val="24"/>
        </w:rPr>
        <w:t xml:space="preserve">  This development allowed women to have the option to work, creating freedom especially for the women of the working class. This development allowed women to strengthen their family’s financial situation and gain independence socially and personally from their husband. Textiles and education </w:t>
      </w:r>
      <w:r w:rsidR="002A7014" w:rsidRPr="00033A5E">
        <w:rPr>
          <w:sz w:val="24"/>
          <w:szCs w:val="24"/>
        </w:rPr>
        <w:t xml:space="preserve">industries </w:t>
      </w:r>
      <w:r w:rsidRPr="00033A5E">
        <w:rPr>
          <w:sz w:val="24"/>
          <w:szCs w:val="24"/>
        </w:rPr>
        <w:t>were the main industries occupied by these women of the working and middle classes. The introduction of the New Poor Law in 1834 created an issue for women applying for poor relief as they had ‘to struggle with the contradiction of being both a woman and a worker.’</w:t>
      </w:r>
      <w:r w:rsidRPr="00033A5E">
        <w:rPr>
          <w:rStyle w:val="FootnoteReference"/>
          <w:sz w:val="24"/>
          <w:szCs w:val="24"/>
        </w:rPr>
        <w:footnoteReference w:id="23"/>
      </w:r>
      <w:r w:rsidRPr="00033A5E">
        <w:rPr>
          <w:sz w:val="24"/>
          <w:szCs w:val="24"/>
        </w:rPr>
        <w:t xml:space="preserve"> This contradiction opposed gender roles and the separate gender spheres within Victorian Britain, as these women ‘supported their families with wage-paying jobs alongside their already heavy domestic burdens... [Which] contributed to their independence both privately and publicly.’</w:t>
      </w:r>
      <w:r w:rsidRPr="00033A5E">
        <w:rPr>
          <w:rStyle w:val="FootnoteReference"/>
          <w:sz w:val="24"/>
          <w:szCs w:val="24"/>
        </w:rPr>
        <w:footnoteReference w:id="24"/>
      </w:r>
      <w:r w:rsidRPr="00033A5E">
        <w:rPr>
          <w:sz w:val="24"/>
          <w:szCs w:val="24"/>
        </w:rPr>
        <w:t xml:space="preserve"> With the combination of the New Poor Law in 1834 and the Industrial Revolution, women’s rights and independence increased allowing these women to gain self-identity separate from being a wife and mother, becoming a fully rounded person.</w:t>
      </w:r>
    </w:p>
    <w:p w14:paraId="25916E16" w14:textId="77777777" w:rsidR="00614196" w:rsidRPr="00033A5E" w:rsidRDefault="00614196" w:rsidP="00614196">
      <w:pPr>
        <w:spacing w:line="480" w:lineRule="auto"/>
        <w:rPr>
          <w:sz w:val="24"/>
          <w:szCs w:val="24"/>
        </w:rPr>
      </w:pPr>
    </w:p>
    <w:p w14:paraId="29B466A2" w14:textId="7E893D2F" w:rsidR="00985705" w:rsidRPr="00033A5E" w:rsidRDefault="00985705" w:rsidP="00985705">
      <w:pPr>
        <w:spacing w:line="480" w:lineRule="auto"/>
        <w:rPr>
          <w:sz w:val="24"/>
          <w:szCs w:val="24"/>
        </w:rPr>
      </w:pPr>
      <w:r w:rsidRPr="00033A5E">
        <w:rPr>
          <w:sz w:val="24"/>
          <w:szCs w:val="24"/>
        </w:rPr>
        <w:t xml:space="preserve">Oppression of women within the legal system extended into the household, with women facing restrictions both publicly and privately. Roles of women in the household varied based on class, but mostly focused on the domesticity expected from Victorian women. </w:t>
      </w:r>
      <w:r w:rsidR="006631CC" w:rsidRPr="00033A5E">
        <w:rPr>
          <w:sz w:val="24"/>
          <w:szCs w:val="24"/>
        </w:rPr>
        <w:t>Upper-class</w:t>
      </w:r>
      <w:r w:rsidR="001648A9" w:rsidRPr="00033A5E">
        <w:rPr>
          <w:sz w:val="24"/>
          <w:szCs w:val="24"/>
        </w:rPr>
        <w:t xml:space="preserve"> women</w:t>
      </w:r>
      <w:r w:rsidR="006631CC" w:rsidRPr="00033A5E">
        <w:rPr>
          <w:sz w:val="24"/>
          <w:szCs w:val="24"/>
        </w:rPr>
        <w:t xml:space="preserve"> </w:t>
      </w:r>
      <w:r w:rsidR="00166D20" w:rsidRPr="00033A5E">
        <w:rPr>
          <w:sz w:val="24"/>
          <w:szCs w:val="24"/>
        </w:rPr>
        <w:t xml:space="preserve">had their </w:t>
      </w:r>
      <w:r w:rsidR="00604C72" w:rsidRPr="00033A5E">
        <w:rPr>
          <w:sz w:val="24"/>
          <w:szCs w:val="24"/>
        </w:rPr>
        <w:t>‘wealth put into separate trusts administered by their fathers or brothers</w:t>
      </w:r>
      <w:r w:rsidR="00166D20" w:rsidRPr="00033A5E">
        <w:rPr>
          <w:sz w:val="24"/>
          <w:szCs w:val="24"/>
        </w:rPr>
        <w:t>.</w:t>
      </w:r>
      <w:r w:rsidR="00604C72" w:rsidRPr="00033A5E">
        <w:rPr>
          <w:sz w:val="24"/>
          <w:szCs w:val="24"/>
        </w:rPr>
        <w:t>’</w:t>
      </w:r>
      <w:r w:rsidR="00A174E9" w:rsidRPr="00033A5E">
        <w:rPr>
          <w:rStyle w:val="FootnoteReference"/>
          <w:sz w:val="24"/>
          <w:szCs w:val="24"/>
        </w:rPr>
        <w:footnoteReference w:id="25"/>
      </w:r>
      <w:r w:rsidR="00A174E9" w:rsidRPr="00033A5E">
        <w:rPr>
          <w:sz w:val="24"/>
          <w:szCs w:val="24"/>
        </w:rPr>
        <w:t xml:space="preserve"> </w:t>
      </w:r>
      <w:r w:rsidR="00E911E0" w:rsidRPr="00033A5E">
        <w:rPr>
          <w:sz w:val="24"/>
          <w:szCs w:val="24"/>
        </w:rPr>
        <w:t xml:space="preserve">Which separates </w:t>
      </w:r>
      <w:r w:rsidR="00F24566" w:rsidRPr="00033A5E">
        <w:rPr>
          <w:sz w:val="24"/>
          <w:szCs w:val="24"/>
        </w:rPr>
        <w:t xml:space="preserve">her wealth from her husband and </w:t>
      </w:r>
      <w:r w:rsidR="00F24566" w:rsidRPr="00033A5E">
        <w:rPr>
          <w:sz w:val="24"/>
          <w:szCs w:val="24"/>
        </w:rPr>
        <w:lastRenderedPageBreak/>
        <w:t xml:space="preserve">creates </w:t>
      </w:r>
      <w:r w:rsidR="007F7FD9" w:rsidRPr="00033A5E">
        <w:rPr>
          <w:sz w:val="24"/>
          <w:szCs w:val="24"/>
        </w:rPr>
        <w:t>independence and suggests that</w:t>
      </w:r>
      <w:r w:rsidR="00E911E0" w:rsidRPr="00033A5E">
        <w:rPr>
          <w:sz w:val="24"/>
          <w:szCs w:val="24"/>
        </w:rPr>
        <w:t xml:space="preserve"> this description of a companion to man</w:t>
      </w:r>
      <w:r w:rsidR="007B0683" w:rsidRPr="00033A5E">
        <w:rPr>
          <w:sz w:val="24"/>
          <w:szCs w:val="24"/>
        </w:rPr>
        <w:t xml:space="preserve"> is not adequate in describing their lives, </w:t>
      </w:r>
      <w:r w:rsidR="00E911E0" w:rsidRPr="00033A5E">
        <w:rPr>
          <w:sz w:val="24"/>
          <w:szCs w:val="24"/>
        </w:rPr>
        <w:t xml:space="preserve">due to this financial independence </w:t>
      </w:r>
      <w:r w:rsidR="008652AA" w:rsidRPr="00033A5E">
        <w:rPr>
          <w:sz w:val="24"/>
          <w:szCs w:val="24"/>
        </w:rPr>
        <w:t>from her husband, yet still remaining reliant on this account’s existence f</w:t>
      </w:r>
      <w:r w:rsidR="003A6194" w:rsidRPr="00033A5E">
        <w:rPr>
          <w:sz w:val="24"/>
          <w:szCs w:val="24"/>
        </w:rPr>
        <w:t>ro</w:t>
      </w:r>
      <w:r w:rsidR="008652AA" w:rsidRPr="00033A5E">
        <w:rPr>
          <w:sz w:val="24"/>
          <w:szCs w:val="24"/>
        </w:rPr>
        <w:t>m her male kin</w:t>
      </w:r>
      <w:r w:rsidR="003A6194" w:rsidRPr="00033A5E">
        <w:rPr>
          <w:sz w:val="24"/>
          <w:szCs w:val="24"/>
        </w:rPr>
        <w:t>, if her family could afford to do so</w:t>
      </w:r>
      <w:r w:rsidR="008652AA" w:rsidRPr="00033A5E">
        <w:rPr>
          <w:sz w:val="24"/>
          <w:szCs w:val="24"/>
        </w:rPr>
        <w:t>.</w:t>
      </w:r>
      <w:r w:rsidR="00781A35" w:rsidRPr="00033A5E">
        <w:rPr>
          <w:sz w:val="24"/>
          <w:szCs w:val="24"/>
        </w:rPr>
        <w:t xml:space="preserve"> </w:t>
      </w:r>
      <w:r w:rsidRPr="00033A5E">
        <w:rPr>
          <w:sz w:val="24"/>
          <w:szCs w:val="24"/>
        </w:rPr>
        <w:t>Also, u</w:t>
      </w:r>
      <w:r w:rsidRPr="00033A5E">
        <w:rPr>
          <w:sz w:val="24"/>
          <w:szCs w:val="24"/>
        </w:rPr>
        <w:t>pper-class family property and titles were ‘passed only to the eldest son… [or] to a distant cousin’ via the legal doctrine of primogeniture.’</w:t>
      </w:r>
      <w:r w:rsidRPr="00033A5E">
        <w:rPr>
          <w:rStyle w:val="FootnoteReference"/>
          <w:sz w:val="24"/>
          <w:szCs w:val="24"/>
        </w:rPr>
        <w:footnoteReference w:id="26"/>
      </w:r>
      <w:r w:rsidRPr="00033A5E">
        <w:rPr>
          <w:sz w:val="24"/>
          <w:szCs w:val="24"/>
        </w:rPr>
        <w:t xml:space="preserve"> </w:t>
      </w:r>
      <w:r w:rsidR="00CC1A4A" w:rsidRPr="00033A5E">
        <w:rPr>
          <w:sz w:val="24"/>
          <w:szCs w:val="24"/>
        </w:rPr>
        <w:t xml:space="preserve">Often </w:t>
      </w:r>
      <w:r w:rsidR="007B0683" w:rsidRPr="00033A5E">
        <w:rPr>
          <w:sz w:val="24"/>
          <w:szCs w:val="24"/>
        </w:rPr>
        <w:t xml:space="preserve">were </w:t>
      </w:r>
      <w:r w:rsidR="00CC1A4A" w:rsidRPr="00033A5E">
        <w:rPr>
          <w:sz w:val="24"/>
          <w:szCs w:val="24"/>
        </w:rPr>
        <w:t>forced to c</w:t>
      </w:r>
      <w:r w:rsidRPr="00033A5E">
        <w:rPr>
          <w:sz w:val="24"/>
          <w:szCs w:val="24"/>
        </w:rPr>
        <w:t xml:space="preserve">ompletely bypass their daughters, with focus on them becoming a wife and rearing a child, especially a son </w:t>
      </w:r>
      <w:r w:rsidR="00B86786" w:rsidRPr="00033A5E">
        <w:rPr>
          <w:sz w:val="24"/>
          <w:szCs w:val="24"/>
        </w:rPr>
        <w:t xml:space="preserve">in order to further the family legacy and wealth for future generations rather than allow her to take full control of the family’s </w:t>
      </w:r>
      <w:r w:rsidR="005E12FB" w:rsidRPr="00033A5E">
        <w:rPr>
          <w:sz w:val="24"/>
          <w:szCs w:val="24"/>
        </w:rPr>
        <w:t xml:space="preserve">finances and property. </w:t>
      </w:r>
    </w:p>
    <w:p w14:paraId="70DB1463" w14:textId="77777777" w:rsidR="005E12FB" w:rsidRPr="00033A5E" w:rsidRDefault="005E12FB" w:rsidP="00985705">
      <w:pPr>
        <w:spacing w:line="480" w:lineRule="auto"/>
        <w:rPr>
          <w:sz w:val="24"/>
          <w:szCs w:val="24"/>
        </w:rPr>
      </w:pPr>
    </w:p>
    <w:p w14:paraId="3A504583" w14:textId="2A55121C" w:rsidR="00572C22" w:rsidRPr="00033A5E" w:rsidRDefault="00826F38" w:rsidP="007E07C3">
      <w:pPr>
        <w:spacing w:line="480" w:lineRule="auto"/>
        <w:rPr>
          <w:sz w:val="24"/>
          <w:szCs w:val="24"/>
        </w:rPr>
      </w:pPr>
      <w:r w:rsidRPr="00033A5E">
        <w:rPr>
          <w:sz w:val="24"/>
          <w:szCs w:val="24"/>
        </w:rPr>
        <w:t>Victorian m</w:t>
      </w:r>
      <w:r w:rsidR="007201E9" w:rsidRPr="00033A5E">
        <w:rPr>
          <w:sz w:val="24"/>
          <w:szCs w:val="24"/>
        </w:rPr>
        <w:t>iddle</w:t>
      </w:r>
      <w:r w:rsidRPr="00033A5E">
        <w:rPr>
          <w:sz w:val="24"/>
          <w:szCs w:val="24"/>
        </w:rPr>
        <w:t>-c</w:t>
      </w:r>
      <w:r w:rsidR="007201E9" w:rsidRPr="00033A5E">
        <w:rPr>
          <w:sz w:val="24"/>
          <w:szCs w:val="24"/>
        </w:rPr>
        <w:t xml:space="preserve">lass </w:t>
      </w:r>
      <w:r w:rsidR="00781A35" w:rsidRPr="00033A5E">
        <w:rPr>
          <w:sz w:val="24"/>
          <w:szCs w:val="24"/>
        </w:rPr>
        <w:t xml:space="preserve">women had the option to </w:t>
      </w:r>
      <w:r w:rsidR="00953834" w:rsidRPr="00033A5E">
        <w:rPr>
          <w:sz w:val="24"/>
          <w:szCs w:val="24"/>
        </w:rPr>
        <w:t xml:space="preserve">work as a ‘governess, teacher, or dressmaker,’ </w:t>
      </w:r>
      <w:r w:rsidR="0061381B" w:rsidRPr="00033A5E">
        <w:rPr>
          <w:sz w:val="24"/>
          <w:szCs w:val="24"/>
        </w:rPr>
        <w:t xml:space="preserve">until marriage, allowing some freedom </w:t>
      </w:r>
      <w:r w:rsidR="00CD3F91" w:rsidRPr="00033A5E">
        <w:rPr>
          <w:sz w:val="24"/>
          <w:szCs w:val="24"/>
        </w:rPr>
        <w:t>from</w:t>
      </w:r>
      <w:r w:rsidR="0061381B" w:rsidRPr="00033A5E">
        <w:rPr>
          <w:sz w:val="24"/>
          <w:szCs w:val="24"/>
        </w:rPr>
        <w:t xml:space="preserve"> being a submissive</w:t>
      </w:r>
      <w:r w:rsidR="00CD3F91" w:rsidRPr="00033A5E">
        <w:rPr>
          <w:sz w:val="24"/>
          <w:szCs w:val="24"/>
        </w:rPr>
        <w:t xml:space="preserve"> companion</w:t>
      </w:r>
      <w:r w:rsidR="0061381B" w:rsidRPr="00033A5E">
        <w:rPr>
          <w:sz w:val="24"/>
          <w:szCs w:val="24"/>
        </w:rPr>
        <w:t>,</w:t>
      </w:r>
      <w:r w:rsidR="00CD3F91" w:rsidRPr="00033A5E">
        <w:rPr>
          <w:sz w:val="24"/>
          <w:szCs w:val="24"/>
        </w:rPr>
        <w:t xml:space="preserve"> and</w:t>
      </w:r>
      <w:r w:rsidR="0061381B" w:rsidRPr="00033A5E">
        <w:rPr>
          <w:sz w:val="24"/>
          <w:szCs w:val="24"/>
        </w:rPr>
        <w:t xml:space="preserve"> </w:t>
      </w:r>
      <w:r w:rsidR="00C318A1" w:rsidRPr="00033A5E">
        <w:rPr>
          <w:sz w:val="24"/>
          <w:szCs w:val="24"/>
        </w:rPr>
        <w:t xml:space="preserve">from </w:t>
      </w:r>
      <w:r w:rsidR="00CD3F91" w:rsidRPr="00033A5E">
        <w:rPr>
          <w:sz w:val="24"/>
          <w:szCs w:val="24"/>
        </w:rPr>
        <w:t xml:space="preserve">being </w:t>
      </w:r>
      <w:r w:rsidR="0061381B" w:rsidRPr="00033A5E">
        <w:rPr>
          <w:sz w:val="24"/>
          <w:szCs w:val="24"/>
        </w:rPr>
        <w:t xml:space="preserve">completely dependent </w:t>
      </w:r>
      <w:r w:rsidR="00CD3F91" w:rsidRPr="00033A5E">
        <w:rPr>
          <w:sz w:val="24"/>
          <w:szCs w:val="24"/>
        </w:rPr>
        <w:t>on the wealth of a man.</w:t>
      </w:r>
      <w:r w:rsidR="00CD3F91" w:rsidRPr="00033A5E">
        <w:rPr>
          <w:rStyle w:val="FootnoteReference"/>
          <w:sz w:val="24"/>
          <w:szCs w:val="24"/>
        </w:rPr>
        <w:footnoteReference w:id="27"/>
      </w:r>
      <w:r w:rsidR="00CD3F91" w:rsidRPr="00033A5E">
        <w:rPr>
          <w:sz w:val="24"/>
          <w:szCs w:val="24"/>
        </w:rPr>
        <w:t xml:space="preserve"> </w:t>
      </w:r>
      <w:r w:rsidR="00871499" w:rsidRPr="00033A5E">
        <w:rPr>
          <w:sz w:val="24"/>
          <w:szCs w:val="24"/>
        </w:rPr>
        <w:t xml:space="preserve">Industry work ending </w:t>
      </w:r>
      <w:r w:rsidR="00427D80" w:rsidRPr="00033A5E">
        <w:rPr>
          <w:sz w:val="24"/>
          <w:szCs w:val="24"/>
        </w:rPr>
        <w:t xml:space="preserve">at marriage supports </w:t>
      </w:r>
      <w:r w:rsidR="00427D80" w:rsidRPr="00033A5E">
        <w:rPr>
          <w:sz w:val="24"/>
          <w:szCs w:val="24"/>
        </w:rPr>
        <w:t>legal theorist William Blackstone</w:t>
      </w:r>
      <w:r w:rsidR="00427D80" w:rsidRPr="00033A5E">
        <w:rPr>
          <w:sz w:val="24"/>
          <w:szCs w:val="24"/>
        </w:rPr>
        <w:t>’s argument that</w:t>
      </w:r>
      <w:r w:rsidR="00427D80" w:rsidRPr="00033A5E">
        <w:rPr>
          <w:sz w:val="24"/>
          <w:szCs w:val="24"/>
        </w:rPr>
        <w:t xml:space="preserve"> ‘the very being or legal existence of the woman is suspended during the marriage.’</w:t>
      </w:r>
      <w:r w:rsidR="00427D80" w:rsidRPr="00033A5E">
        <w:rPr>
          <w:rStyle w:val="FootnoteReference"/>
          <w:sz w:val="24"/>
          <w:szCs w:val="24"/>
        </w:rPr>
        <w:footnoteReference w:id="28"/>
      </w:r>
      <w:r w:rsidR="00427D80" w:rsidRPr="00033A5E">
        <w:rPr>
          <w:sz w:val="24"/>
          <w:szCs w:val="24"/>
        </w:rPr>
        <w:t xml:space="preserve"> As </w:t>
      </w:r>
      <w:r w:rsidR="00B04B7E" w:rsidRPr="00033A5E">
        <w:rPr>
          <w:sz w:val="24"/>
          <w:szCs w:val="24"/>
        </w:rPr>
        <w:t>these women are steered towards domestic work</w:t>
      </w:r>
      <w:r w:rsidR="00BA02D5" w:rsidRPr="00033A5E">
        <w:rPr>
          <w:sz w:val="24"/>
          <w:szCs w:val="24"/>
        </w:rPr>
        <w:t>, managing the household while ‘directing the servants’ and possible nanni</w:t>
      </w:r>
      <w:r w:rsidR="00625A37" w:rsidRPr="00033A5E">
        <w:rPr>
          <w:sz w:val="24"/>
          <w:szCs w:val="24"/>
        </w:rPr>
        <w:t xml:space="preserve">es, </w:t>
      </w:r>
      <w:r w:rsidR="002242B7" w:rsidRPr="00033A5E">
        <w:rPr>
          <w:sz w:val="24"/>
          <w:szCs w:val="24"/>
        </w:rPr>
        <w:t>while she focuses on leisure rather than labour.</w:t>
      </w:r>
      <w:r w:rsidR="007B0683" w:rsidRPr="00033A5E">
        <w:rPr>
          <w:rStyle w:val="FootnoteReference"/>
          <w:sz w:val="24"/>
          <w:szCs w:val="24"/>
        </w:rPr>
        <w:footnoteReference w:id="29"/>
      </w:r>
      <w:r w:rsidR="002242B7" w:rsidRPr="00033A5E">
        <w:rPr>
          <w:sz w:val="24"/>
          <w:szCs w:val="24"/>
        </w:rPr>
        <w:t xml:space="preserve"> Transforming these working women into a house companion</w:t>
      </w:r>
      <w:r w:rsidR="00EF05AD" w:rsidRPr="00033A5E">
        <w:rPr>
          <w:sz w:val="24"/>
          <w:szCs w:val="24"/>
        </w:rPr>
        <w:t>,</w:t>
      </w:r>
      <w:r w:rsidR="002242B7" w:rsidRPr="00033A5E">
        <w:rPr>
          <w:sz w:val="24"/>
          <w:szCs w:val="24"/>
        </w:rPr>
        <w:t xml:space="preserve"> </w:t>
      </w:r>
      <w:r w:rsidR="00E62D62" w:rsidRPr="00033A5E">
        <w:rPr>
          <w:sz w:val="24"/>
          <w:szCs w:val="24"/>
        </w:rPr>
        <w:t xml:space="preserve">seen only as a mother and “lady of the manor” type figure who is there to raise the child, “keep-house” and </w:t>
      </w:r>
      <w:r w:rsidR="001F76B0" w:rsidRPr="00033A5E">
        <w:rPr>
          <w:sz w:val="24"/>
          <w:szCs w:val="24"/>
        </w:rPr>
        <w:t xml:space="preserve">satisfy her husband, being a “companion to man”. </w:t>
      </w:r>
      <w:r w:rsidR="00EF05AD" w:rsidRPr="00033A5E">
        <w:rPr>
          <w:sz w:val="24"/>
          <w:szCs w:val="24"/>
        </w:rPr>
        <w:t xml:space="preserve">This transformation was common and </w:t>
      </w:r>
      <w:r w:rsidR="00BE7EB6" w:rsidRPr="00033A5E">
        <w:rPr>
          <w:sz w:val="24"/>
          <w:szCs w:val="24"/>
        </w:rPr>
        <w:t xml:space="preserve">encouraged, often celebrated as it was part of middle-class British culture to cultivate a home and maintain a relationship with her husband and her peers. </w:t>
      </w:r>
      <w:r w:rsidR="009F43D9" w:rsidRPr="00033A5E">
        <w:rPr>
          <w:sz w:val="24"/>
          <w:szCs w:val="24"/>
        </w:rPr>
        <w:t>These expectations created a stigma around women who never married they were seen as ‘socially problematic’ without a husband.</w:t>
      </w:r>
      <w:r w:rsidR="009F43D9" w:rsidRPr="00033A5E">
        <w:rPr>
          <w:rStyle w:val="FootnoteReference"/>
          <w:sz w:val="24"/>
          <w:szCs w:val="24"/>
        </w:rPr>
        <w:footnoteReference w:id="30"/>
      </w:r>
      <w:r w:rsidR="009F43D9" w:rsidRPr="00033A5E">
        <w:rPr>
          <w:sz w:val="24"/>
          <w:szCs w:val="24"/>
        </w:rPr>
        <w:t xml:space="preserve"> </w:t>
      </w:r>
      <w:r w:rsidR="007519C6" w:rsidRPr="00033A5E">
        <w:rPr>
          <w:sz w:val="24"/>
          <w:szCs w:val="24"/>
        </w:rPr>
        <w:t xml:space="preserve">Unmarried, middleclass women were largely </w:t>
      </w:r>
      <w:r w:rsidR="007519C6" w:rsidRPr="00033A5E">
        <w:rPr>
          <w:sz w:val="24"/>
          <w:szCs w:val="24"/>
        </w:rPr>
        <w:t>affected</w:t>
      </w:r>
      <w:r w:rsidR="007519C6" w:rsidRPr="00033A5E">
        <w:rPr>
          <w:sz w:val="24"/>
          <w:szCs w:val="24"/>
        </w:rPr>
        <w:t xml:space="preserve"> by the lack of a husband, if she didn’t have a wealthy or generous brother for financial support </w:t>
      </w:r>
      <w:r w:rsidR="001D45CB" w:rsidRPr="00033A5E">
        <w:rPr>
          <w:sz w:val="24"/>
          <w:szCs w:val="24"/>
        </w:rPr>
        <w:t xml:space="preserve">also did not have the ability to </w:t>
      </w:r>
      <w:r w:rsidR="007519C6" w:rsidRPr="00033A5E">
        <w:rPr>
          <w:sz w:val="24"/>
          <w:szCs w:val="24"/>
        </w:rPr>
        <w:t xml:space="preserve">‘earn wages </w:t>
      </w:r>
      <w:r w:rsidR="007519C6" w:rsidRPr="00033A5E">
        <w:rPr>
          <w:sz w:val="24"/>
          <w:szCs w:val="24"/>
        </w:rPr>
        <w:lastRenderedPageBreak/>
        <w:t>without losing their respectability</w:t>
      </w:r>
      <w:r w:rsidR="001D45CB" w:rsidRPr="00033A5E">
        <w:rPr>
          <w:sz w:val="24"/>
          <w:szCs w:val="24"/>
        </w:rPr>
        <w:t>,</w:t>
      </w:r>
      <w:r w:rsidR="007519C6" w:rsidRPr="00033A5E">
        <w:rPr>
          <w:sz w:val="24"/>
          <w:szCs w:val="24"/>
        </w:rPr>
        <w:t>’</w:t>
      </w:r>
      <w:r w:rsidR="001D45CB" w:rsidRPr="00033A5E">
        <w:rPr>
          <w:sz w:val="24"/>
          <w:szCs w:val="24"/>
        </w:rPr>
        <w:t xml:space="preserve"> </w:t>
      </w:r>
      <w:r w:rsidR="00EC3516" w:rsidRPr="00033A5E">
        <w:rPr>
          <w:sz w:val="24"/>
          <w:szCs w:val="24"/>
        </w:rPr>
        <w:t>r</w:t>
      </w:r>
      <w:r w:rsidR="007519C6" w:rsidRPr="00033A5E">
        <w:rPr>
          <w:sz w:val="24"/>
          <w:szCs w:val="24"/>
        </w:rPr>
        <w:t>einforcing the</w:t>
      </w:r>
      <w:r w:rsidR="00EC3516" w:rsidRPr="00033A5E">
        <w:rPr>
          <w:sz w:val="24"/>
          <w:szCs w:val="24"/>
        </w:rPr>
        <w:t xml:space="preserve"> social</w:t>
      </w:r>
      <w:r w:rsidR="005852D9" w:rsidRPr="00033A5E">
        <w:rPr>
          <w:sz w:val="24"/>
          <w:szCs w:val="24"/>
        </w:rPr>
        <w:t xml:space="preserve"> barriers f</w:t>
      </w:r>
      <w:r w:rsidR="00033A5E" w:rsidRPr="00033A5E">
        <w:rPr>
          <w:sz w:val="24"/>
          <w:szCs w:val="24"/>
        </w:rPr>
        <w:t>aced</w:t>
      </w:r>
      <w:r w:rsidR="005852D9" w:rsidRPr="00033A5E">
        <w:rPr>
          <w:sz w:val="24"/>
          <w:szCs w:val="24"/>
        </w:rPr>
        <w:t xml:space="preserve"> by these women and the expectations from their family, </w:t>
      </w:r>
      <w:r w:rsidR="005F5D4B" w:rsidRPr="00033A5E">
        <w:rPr>
          <w:sz w:val="24"/>
          <w:szCs w:val="24"/>
        </w:rPr>
        <w:t xml:space="preserve">social </w:t>
      </w:r>
      <w:r w:rsidR="005852D9" w:rsidRPr="00033A5E">
        <w:rPr>
          <w:sz w:val="24"/>
          <w:szCs w:val="24"/>
        </w:rPr>
        <w:t>peers</w:t>
      </w:r>
      <w:r w:rsidR="005F5D4B" w:rsidRPr="00033A5E">
        <w:rPr>
          <w:sz w:val="24"/>
          <w:szCs w:val="24"/>
        </w:rPr>
        <w:t>, and husband.</w:t>
      </w:r>
      <w:r w:rsidR="00EC3516" w:rsidRPr="00033A5E">
        <w:rPr>
          <w:rStyle w:val="FootnoteReference"/>
          <w:sz w:val="24"/>
          <w:szCs w:val="24"/>
        </w:rPr>
        <w:footnoteReference w:id="31"/>
      </w:r>
      <w:r w:rsidR="00EC3516" w:rsidRPr="00033A5E">
        <w:rPr>
          <w:sz w:val="24"/>
          <w:szCs w:val="24"/>
        </w:rPr>
        <w:t xml:space="preserve"> </w:t>
      </w:r>
      <w:r w:rsidR="005F5D4B" w:rsidRPr="00033A5E">
        <w:rPr>
          <w:sz w:val="24"/>
          <w:szCs w:val="24"/>
        </w:rPr>
        <w:t xml:space="preserve"> </w:t>
      </w:r>
    </w:p>
    <w:p w14:paraId="4C4BEA5A" w14:textId="77777777" w:rsidR="00572C22" w:rsidRPr="00033A5E" w:rsidRDefault="00572C22" w:rsidP="007E07C3">
      <w:pPr>
        <w:spacing w:line="480" w:lineRule="auto"/>
        <w:rPr>
          <w:sz w:val="24"/>
          <w:szCs w:val="24"/>
        </w:rPr>
      </w:pPr>
    </w:p>
    <w:p w14:paraId="6FC4F136" w14:textId="6D22308A" w:rsidR="009B6AEF" w:rsidRPr="00033A5E" w:rsidRDefault="001F76B0" w:rsidP="007E07C3">
      <w:pPr>
        <w:spacing w:line="480" w:lineRule="auto"/>
        <w:rPr>
          <w:sz w:val="24"/>
          <w:szCs w:val="24"/>
        </w:rPr>
      </w:pPr>
      <w:r w:rsidRPr="00033A5E">
        <w:rPr>
          <w:sz w:val="24"/>
          <w:szCs w:val="24"/>
        </w:rPr>
        <w:t>W</w:t>
      </w:r>
      <w:r w:rsidR="009D6EB4" w:rsidRPr="00033A5E">
        <w:rPr>
          <w:sz w:val="24"/>
          <w:szCs w:val="24"/>
        </w:rPr>
        <w:t>orking</w:t>
      </w:r>
      <w:r w:rsidR="00C533DD" w:rsidRPr="00033A5E">
        <w:rPr>
          <w:sz w:val="24"/>
          <w:szCs w:val="24"/>
        </w:rPr>
        <w:t xml:space="preserve"> class </w:t>
      </w:r>
      <w:r w:rsidRPr="00033A5E">
        <w:rPr>
          <w:sz w:val="24"/>
          <w:szCs w:val="24"/>
        </w:rPr>
        <w:t xml:space="preserve">Victorian </w:t>
      </w:r>
      <w:r w:rsidR="00E911E0" w:rsidRPr="00033A5E">
        <w:rPr>
          <w:sz w:val="24"/>
          <w:szCs w:val="24"/>
        </w:rPr>
        <w:t>women</w:t>
      </w:r>
      <w:r w:rsidR="00155EA7" w:rsidRPr="00033A5E">
        <w:rPr>
          <w:sz w:val="24"/>
          <w:szCs w:val="24"/>
        </w:rPr>
        <w:t xml:space="preserve">, post industrialisation, started work in early childhood </w:t>
      </w:r>
      <w:r w:rsidR="00C83268" w:rsidRPr="00033A5E">
        <w:rPr>
          <w:sz w:val="24"/>
          <w:szCs w:val="24"/>
        </w:rPr>
        <w:t xml:space="preserve">which paused during pregnancy and child rearing, then most returned to work alongside </w:t>
      </w:r>
      <w:r w:rsidR="00664F6B" w:rsidRPr="00033A5E">
        <w:rPr>
          <w:sz w:val="24"/>
          <w:szCs w:val="24"/>
        </w:rPr>
        <w:t xml:space="preserve">continuing to do </w:t>
      </w:r>
      <w:r w:rsidR="00CF5BC0" w:rsidRPr="00033A5E">
        <w:rPr>
          <w:sz w:val="24"/>
          <w:szCs w:val="24"/>
        </w:rPr>
        <w:t xml:space="preserve">housework, </w:t>
      </w:r>
      <w:r w:rsidR="00664F6B" w:rsidRPr="00033A5E">
        <w:rPr>
          <w:sz w:val="24"/>
          <w:szCs w:val="24"/>
        </w:rPr>
        <w:t>and most of the child rearing while their husband was at work</w:t>
      </w:r>
      <w:r w:rsidR="00E71677" w:rsidRPr="00033A5E">
        <w:rPr>
          <w:sz w:val="24"/>
          <w:szCs w:val="24"/>
        </w:rPr>
        <w:t xml:space="preserve">. Establishing some independence from her husband </w:t>
      </w:r>
      <w:r w:rsidR="00795BDF" w:rsidRPr="00033A5E">
        <w:rPr>
          <w:sz w:val="24"/>
          <w:szCs w:val="24"/>
        </w:rPr>
        <w:t>by earning a wage in order to support her family</w:t>
      </w:r>
      <w:r w:rsidR="009D6EB4" w:rsidRPr="00033A5E">
        <w:rPr>
          <w:sz w:val="24"/>
          <w:szCs w:val="24"/>
        </w:rPr>
        <w:t>, while not having complete access to these wages or property earned or bought with these earnings.</w:t>
      </w:r>
      <w:r w:rsidR="00EE44D5" w:rsidRPr="00033A5E">
        <w:rPr>
          <w:sz w:val="24"/>
          <w:szCs w:val="24"/>
        </w:rPr>
        <w:t xml:space="preserve"> This </w:t>
      </w:r>
      <w:r w:rsidR="009F2A4C" w:rsidRPr="00033A5E">
        <w:rPr>
          <w:sz w:val="24"/>
          <w:szCs w:val="24"/>
        </w:rPr>
        <w:t>independence via joining the work force emulates the Bible in Genesis 2</w:t>
      </w:r>
      <w:r w:rsidR="00E55CDF" w:rsidRPr="00033A5E">
        <w:rPr>
          <w:sz w:val="24"/>
          <w:szCs w:val="24"/>
        </w:rPr>
        <w:t xml:space="preserve">, as God created the animals there was ‘no suitable helper’ for Adam, so God created </w:t>
      </w:r>
      <w:r w:rsidR="00BF2272" w:rsidRPr="00033A5E">
        <w:rPr>
          <w:sz w:val="24"/>
          <w:szCs w:val="24"/>
        </w:rPr>
        <w:t>Eve as his helper and companion.</w:t>
      </w:r>
      <w:r w:rsidR="0035622F" w:rsidRPr="00033A5E">
        <w:rPr>
          <w:rStyle w:val="FootnoteReference"/>
          <w:sz w:val="24"/>
          <w:szCs w:val="24"/>
        </w:rPr>
        <w:footnoteReference w:id="32"/>
      </w:r>
      <w:r w:rsidR="00BF2272" w:rsidRPr="00033A5E">
        <w:rPr>
          <w:sz w:val="24"/>
          <w:szCs w:val="24"/>
        </w:rPr>
        <w:t xml:space="preserve"> This passage </w:t>
      </w:r>
      <w:r w:rsidR="004700BC" w:rsidRPr="00033A5E">
        <w:rPr>
          <w:sz w:val="24"/>
          <w:szCs w:val="24"/>
        </w:rPr>
        <w:t xml:space="preserve">is echoed in the </w:t>
      </w:r>
      <w:r w:rsidR="008157C6" w:rsidRPr="00033A5E">
        <w:rPr>
          <w:sz w:val="24"/>
          <w:szCs w:val="24"/>
        </w:rPr>
        <w:t xml:space="preserve">patriarchal </w:t>
      </w:r>
      <w:r w:rsidR="004700BC" w:rsidRPr="00033A5E">
        <w:rPr>
          <w:sz w:val="24"/>
          <w:szCs w:val="24"/>
        </w:rPr>
        <w:t xml:space="preserve">structure of the Church which transfers to Victorian Britain’s societal structure </w:t>
      </w:r>
      <w:r w:rsidR="0035622F" w:rsidRPr="00033A5E">
        <w:rPr>
          <w:sz w:val="24"/>
          <w:szCs w:val="24"/>
        </w:rPr>
        <w:t>with both pre-</w:t>
      </w:r>
      <w:r w:rsidR="0064316D" w:rsidRPr="00033A5E">
        <w:rPr>
          <w:sz w:val="24"/>
          <w:szCs w:val="24"/>
        </w:rPr>
        <w:t>i</w:t>
      </w:r>
      <w:r w:rsidR="0035622F" w:rsidRPr="00033A5E">
        <w:rPr>
          <w:sz w:val="24"/>
          <w:szCs w:val="24"/>
        </w:rPr>
        <w:t>ndustrial and post-industrial work for women as a help</w:t>
      </w:r>
      <w:r w:rsidR="008519C1" w:rsidRPr="00033A5E">
        <w:rPr>
          <w:sz w:val="24"/>
          <w:szCs w:val="24"/>
        </w:rPr>
        <w:t>er</w:t>
      </w:r>
      <w:r w:rsidR="0035622F" w:rsidRPr="00033A5E">
        <w:rPr>
          <w:sz w:val="24"/>
          <w:szCs w:val="24"/>
        </w:rPr>
        <w:t xml:space="preserve"> to her father </w:t>
      </w:r>
      <w:r w:rsidR="008519C1" w:rsidRPr="00033A5E">
        <w:rPr>
          <w:sz w:val="24"/>
          <w:szCs w:val="24"/>
        </w:rPr>
        <w:t>then</w:t>
      </w:r>
      <w:r w:rsidR="0035622F" w:rsidRPr="00033A5E">
        <w:rPr>
          <w:sz w:val="24"/>
          <w:szCs w:val="24"/>
        </w:rPr>
        <w:t xml:space="preserve"> husband. With pre-industrial</w:t>
      </w:r>
      <w:r w:rsidR="00AA39C9" w:rsidRPr="00033A5E">
        <w:rPr>
          <w:sz w:val="24"/>
          <w:szCs w:val="24"/>
        </w:rPr>
        <w:t xml:space="preserve"> work with the ‘home and workplace </w:t>
      </w:r>
      <w:r w:rsidR="00734BDA" w:rsidRPr="00033A5E">
        <w:rPr>
          <w:sz w:val="24"/>
          <w:szCs w:val="24"/>
        </w:rPr>
        <w:t>[seen as] identical or overlapping and men and women worked side by side’</w:t>
      </w:r>
      <w:r w:rsidR="00F1730B" w:rsidRPr="00033A5E">
        <w:rPr>
          <w:sz w:val="24"/>
          <w:szCs w:val="24"/>
        </w:rPr>
        <w:t xml:space="preserve"> performing their different tasks to support their family.</w:t>
      </w:r>
      <w:r w:rsidR="00F1730B" w:rsidRPr="00033A5E">
        <w:rPr>
          <w:rStyle w:val="FootnoteReference"/>
          <w:sz w:val="24"/>
          <w:szCs w:val="24"/>
        </w:rPr>
        <w:footnoteReference w:id="33"/>
      </w:r>
      <w:r w:rsidR="00F1730B" w:rsidRPr="00033A5E">
        <w:rPr>
          <w:sz w:val="24"/>
          <w:szCs w:val="24"/>
        </w:rPr>
        <w:t xml:space="preserve"> </w:t>
      </w:r>
      <w:r w:rsidR="000D3B3B" w:rsidRPr="00033A5E">
        <w:rPr>
          <w:sz w:val="24"/>
          <w:szCs w:val="24"/>
        </w:rPr>
        <w:t xml:space="preserve">This interpretation of the passage and work itself argues that </w:t>
      </w:r>
      <w:r w:rsidR="006C081B" w:rsidRPr="00033A5E">
        <w:rPr>
          <w:sz w:val="24"/>
          <w:szCs w:val="24"/>
        </w:rPr>
        <w:t xml:space="preserve">women’s industry work </w:t>
      </w:r>
      <w:r w:rsidR="00165155" w:rsidRPr="00033A5E">
        <w:rPr>
          <w:sz w:val="24"/>
          <w:szCs w:val="24"/>
        </w:rPr>
        <w:t>is equally contributing to the household finances and needs</w:t>
      </w:r>
      <w:r w:rsidR="00B347E9" w:rsidRPr="00033A5E">
        <w:rPr>
          <w:sz w:val="24"/>
          <w:szCs w:val="24"/>
        </w:rPr>
        <w:t>, w</w:t>
      </w:r>
      <w:r w:rsidR="00104D79" w:rsidRPr="00033A5E">
        <w:rPr>
          <w:sz w:val="24"/>
          <w:szCs w:val="24"/>
        </w:rPr>
        <w:t>hile simultaneously being</w:t>
      </w:r>
      <w:r w:rsidR="00B347E9" w:rsidRPr="00033A5E">
        <w:rPr>
          <w:sz w:val="24"/>
          <w:szCs w:val="24"/>
        </w:rPr>
        <w:t xml:space="preserve"> a male</w:t>
      </w:r>
      <w:r w:rsidR="002D32FA" w:rsidRPr="00033A5E">
        <w:rPr>
          <w:sz w:val="24"/>
          <w:szCs w:val="24"/>
        </w:rPr>
        <w:t xml:space="preserve">-dominated and patriarchal family unit. As </w:t>
      </w:r>
      <w:r w:rsidR="002A7765" w:rsidRPr="00033A5E">
        <w:rPr>
          <w:sz w:val="24"/>
          <w:szCs w:val="24"/>
        </w:rPr>
        <w:t>some legal theorists</w:t>
      </w:r>
      <w:r w:rsidR="00B05CD0" w:rsidRPr="00033A5E">
        <w:rPr>
          <w:sz w:val="24"/>
          <w:szCs w:val="24"/>
        </w:rPr>
        <w:t xml:space="preserve"> ‘compared marriage to riding ho</w:t>
      </w:r>
      <w:r w:rsidR="00033A5E" w:rsidRPr="00033A5E">
        <w:rPr>
          <w:sz w:val="24"/>
          <w:szCs w:val="24"/>
        </w:rPr>
        <w:t>r</w:t>
      </w:r>
      <w:r w:rsidR="00B05CD0" w:rsidRPr="00033A5E">
        <w:rPr>
          <w:sz w:val="24"/>
          <w:szCs w:val="24"/>
        </w:rPr>
        <w:t>seback</w:t>
      </w:r>
      <w:r w:rsidR="002A7765" w:rsidRPr="00033A5E">
        <w:rPr>
          <w:sz w:val="24"/>
          <w:szCs w:val="24"/>
        </w:rPr>
        <w:t xml:space="preserve"> </w:t>
      </w:r>
      <w:r w:rsidR="00B05CD0" w:rsidRPr="00033A5E">
        <w:rPr>
          <w:sz w:val="24"/>
          <w:szCs w:val="24"/>
        </w:rPr>
        <w:t>together; when clearly “one must ride behind,”</w:t>
      </w:r>
      <w:r w:rsidR="008A3DFC" w:rsidRPr="00033A5E">
        <w:rPr>
          <w:sz w:val="24"/>
          <w:szCs w:val="24"/>
        </w:rPr>
        <w:t>’</w:t>
      </w:r>
      <w:r w:rsidR="00B05CD0" w:rsidRPr="00033A5E">
        <w:rPr>
          <w:sz w:val="24"/>
          <w:szCs w:val="24"/>
        </w:rPr>
        <w:t xml:space="preserve"> this could be interpreted as both are doing the same thing, riding the horse (managing the household</w:t>
      </w:r>
      <w:r w:rsidR="002B05C7" w:rsidRPr="00033A5E">
        <w:rPr>
          <w:sz w:val="24"/>
          <w:szCs w:val="24"/>
        </w:rPr>
        <w:t>,</w:t>
      </w:r>
      <w:r w:rsidR="00722DF3" w:rsidRPr="00033A5E">
        <w:rPr>
          <w:sz w:val="24"/>
          <w:szCs w:val="24"/>
        </w:rPr>
        <w:t xml:space="preserve"> but with a leader (the man) </w:t>
      </w:r>
      <w:r w:rsidR="002B05C7" w:rsidRPr="00033A5E">
        <w:rPr>
          <w:sz w:val="24"/>
          <w:szCs w:val="24"/>
        </w:rPr>
        <w:t xml:space="preserve">is </w:t>
      </w:r>
      <w:r w:rsidR="00722DF3" w:rsidRPr="00033A5E">
        <w:rPr>
          <w:sz w:val="24"/>
          <w:szCs w:val="24"/>
        </w:rPr>
        <w:t xml:space="preserve">guiding them both towards financial </w:t>
      </w:r>
      <w:r w:rsidR="007F0FD8" w:rsidRPr="00033A5E">
        <w:rPr>
          <w:sz w:val="24"/>
          <w:szCs w:val="24"/>
        </w:rPr>
        <w:t>success and stability.</w:t>
      </w:r>
      <w:r w:rsidR="008A3DFC" w:rsidRPr="00033A5E">
        <w:rPr>
          <w:rStyle w:val="FootnoteReference"/>
          <w:sz w:val="24"/>
          <w:szCs w:val="24"/>
        </w:rPr>
        <w:footnoteReference w:id="34"/>
      </w:r>
      <w:r w:rsidR="007F0FD8" w:rsidRPr="00033A5E">
        <w:rPr>
          <w:sz w:val="24"/>
          <w:szCs w:val="24"/>
        </w:rPr>
        <w:t xml:space="preserve"> </w:t>
      </w:r>
      <w:r w:rsidR="00165155" w:rsidRPr="00033A5E">
        <w:rPr>
          <w:sz w:val="24"/>
          <w:szCs w:val="24"/>
        </w:rPr>
        <w:t xml:space="preserve">On the other hand, </w:t>
      </w:r>
      <w:r w:rsidR="00F622E0" w:rsidRPr="00033A5E">
        <w:rPr>
          <w:sz w:val="24"/>
          <w:szCs w:val="24"/>
        </w:rPr>
        <w:t xml:space="preserve">the term </w:t>
      </w:r>
      <w:r w:rsidR="00745C26" w:rsidRPr="00033A5E">
        <w:rPr>
          <w:sz w:val="24"/>
          <w:szCs w:val="24"/>
        </w:rPr>
        <w:t>“</w:t>
      </w:r>
      <w:r w:rsidR="00F622E0" w:rsidRPr="00033A5E">
        <w:rPr>
          <w:sz w:val="24"/>
          <w:szCs w:val="24"/>
        </w:rPr>
        <w:t>helper</w:t>
      </w:r>
      <w:r w:rsidR="00745C26" w:rsidRPr="00033A5E">
        <w:rPr>
          <w:sz w:val="24"/>
          <w:szCs w:val="24"/>
        </w:rPr>
        <w:t>”</w:t>
      </w:r>
      <w:r w:rsidR="00F622E0" w:rsidRPr="00033A5E">
        <w:rPr>
          <w:sz w:val="24"/>
          <w:szCs w:val="24"/>
        </w:rPr>
        <w:t xml:space="preserve"> reinforces the description of Victorian women being a “companion to man” </w:t>
      </w:r>
      <w:r w:rsidR="006F791F" w:rsidRPr="00033A5E">
        <w:rPr>
          <w:sz w:val="24"/>
          <w:szCs w:val="24"/>
        </w:rPr>
        <w:t xml:space="preserve">as this </w:t>
      </w:r>
      <w:r w:rsidR="00E429FB" w:rsidRPr="00033A5E">
        <w:rPr>
          <w:sz w:val="24"/>
          <w:szCs w:val="24"/>
        </w:rPr>
        <w:t>implies that women</w:t>
      </w:r>
      <w:r w:rsidR="00B507F4" w:rsidRPr="00033A5E">
        <w:rPr>
          <w:sz w:val="24"/>
          <w:szCs w:val="24"/>
        </w:rPr>
        <w:t xml:space="preserve">, </w:t>
      </w:r>
      <w:r w:rsidR="00E429FB" w:rsidRPr="00033A5E">
        <w:rPr>
          <w:sz w:val="24"/>
          <w:szCs w:val="24"/>
        </w:rPr>
        <w:t>Eve</w:t>
      </w:r>
      <w:r w:rsidR="00B507F4" w:rsidRPr="00033A5E">
        <w:rPr>
          <w:sz w:val="24"/>
          <w:szCs w:val="24"/>
        </w:rPr>
        <w:t xml:space="preserve"> </w:t>
      </w:r>
      <w:r w:rsidR="00E429FB" w:rsidRPr="00033A5E">
        <w:rPr>
          <w:sz w:val="24"/>
          <w:szCs w:val="24"/>
        </w:rPr>
        <w:t>herself</w:t>
      </w:r>
      <w:r w:rsidR="00B507F4" w:rsidRPr="00033A5E">
        <w:rPr>
          <w:sz w:val="24"/>
          <w:szCs w:val="24"/>
        </w:rPr>
        <w:t>,</w:t>
      </w:r>
      <w:r w:rsidR="00E429FB" w:rsidRPr="00033A5E">
        <w:rPr>
          <w:sz w:val="24"/>
          <w:szCs w:val="24"/>
        </w:rPr>
        <w:t xml:space="preserve"> are lesser to men, Adam, as woman comes from man and </w:t>
      </w:r>
      <w:r w:rsidR="009A44A6" w:rsidRPr="00033A5E">
        <w:rPr>
          <w:sz w:val="24"/>
          <w:szCs w:val="24"/>
        </w:rPr>
        <w:t>helps them in life a</w:t>
      </w:r>
      <w:r w:rsidR="00E6480D" w:rsidRPr="00033A5E">
        <w:rPr>
          <w:sz w:val="24"/>
          <w:szCs w:val="24"/>
        </w:rPr>
        <w:t>lso,</w:t>
      </w:r>
      <w:r w:rsidR="009A44A6" w:rsidRPr="00033A5E">
        <w:rPr>
          <w:sz w:val="24"/>
          <w:szCs w:val="24"/>
        </w:rPr>
        <w:t xml:space="preserve"> in some versions of this passage describe her as a </w:t>
      </w:r>
      <w:r w:rsidR="00985705" w:rsidRPr="00033A5E">
        <w:rPr>
          <w:sz w:val="24"/>
          <w:szCs w:val="24"/>
        </w:rPr>
        <w:t>servant for Adam.</w:t>
      </w:r>
      <w:r w:rsidR="007F0FD8" w:rsidRPr="00033A5E">
        <w:rPr>
          <w:sz w:val="24"/>
          <w:szCs w:val="24"/>
        </w:rPr>
        <w:t xml:space="preserve"> With the horse analogy representing clear, divided roles with the one in front </w:t>
      </w:r>
      <w:r w:rsidR="004A690A" w:rsidRPr="00033A5E">
        <w:rPr>
          <w:sz w:val="24"/>
          <w:szCs w:val="24"/>
        </w:rPr>
        <w:t xml:space="preserve">in charge of the household with the support of the wife, helping him by managing the domestic work and </w:t>
      </w:r>
      <w:r w:rsidR="004A690A" w:rsidRPr="00033A5E">
        <w:rPr>
          <w:sz w:val="24"/>
          <w:szCs w:val="24"/>
        </w:rPr>
        <w:lastRenderedPageBreak/>
        <w:t xml:space="preserve">perhaps industry work in order to support her husband as </w:t>
      </w:r>
      <w:r w:rsidR="00B65B78" w:rsidRPr="00033A5E">
        <w:rPr>
          <w:sz w:val="24"/>
          <w:szCs w:val="24"/>
        </w:rPr>
        <w:t xml:space="preserve">Eve supports and helps Adam. The latter interpretation of the analogy supports the thinking of legal theorist William Blackstone, as </w:t>
      </w:r>
      <w:r w:rsidR="00745C26" w:rsidRPr="00033A5E">
        <w:rPr>
          <w:sz w:val="24"/>
          <w:szCs w:val="24"/>
        </w:rPr>
        <w:t xml:space="preserve">he </w:t>
      </w:r>
      <w:r w:rsidR="00D648D4" w:rsidRPr="00033A5E">
        <w:rPr>
          <w:sz w:val="24"/>
          <w:szCs w:val="24"/>
        </w:rPr>
        <w:t xml:space="preserve">argued </w:t>
      </w:r>
      <w:r w:rsidR="00745C26" w:rsidRPr="00033A5E">
        <w:rPr>
          <w:sz w:val="24"/>
          <w:szCs w:val="24"/>
        </w:rPr>
        <w:t>that ‘the very being or legal existence of the woman is suspended during the marriage.’</w:t>
      </w:r>
      <w:r w:rsidR="009D2D94" w:rsidRPr="00033A5E">
        <w:rPr>
          <w:rStyle w:val="FootnoteReference"/>
          <w:sz w:val="24"/>
          <w:szCs w:val="24"/>
        </w:rPr>
        <w:footnoteReference w:id="35"/>
      </w:r>
      <w:r w:rsidR="00DE702E" w:rsidRPr="00033A5E">
        <w:rPr>
          <w:sz w:val="24"/>
          <w:szCs w:val="24"/>
        </w:rPr>
        <w:t xml:space="preserve"> </w:t>
      </w:r>
      <w:r w:rsidR="008A2E3A" w:rsidRPr="00033A5E">
        <w:rPr>
          <w:sz w:val="24"/>
          <w:szCs w:val="24"/>
        </w:rPr>
        <w:t xml:space="preserve">Blackstone’s argument of women’s invisibility </w:t>
      </w:r>
      <w:r w:rsidR="005E6584" w:rsidRPr="00033A5E">
        <w:rPr>
          <w:sz w:val="24"/>
          <w:szCs w:val="24"/>
        </w:rPr>
        <w:t>mirrors the oppression of women over the centuries</w:t>
      </w:r>
      <w:r w:rsidR="00F8163F" w:rsidRPr="00033A5E">
        <w:rPr>
          <w:sz w:val="24"/>
          <w:szCs w:val="24"/>
        </w:rPr>
        <w:t xml:space="preserve">, </w:t>
      </w:r>
      <w:r w:rsidR="005E6584" w:rsidRPr="00033A5E">
        <w:rPr>
          <w:sz w:val="24"/>
          <w:szCs w:val="24"/>
        </w:rPr>
        <w:t xml:space="preserve">particularly </w:t>
      </w:r>
      <w:r w:rsidR="00F8163F" w:rsidRPr="00033A5E">
        <w:rPr>
          <w:sz w:val="24"/>
          <w:szCs w:val="24"/>
        </w:rPr>
        <w:t xml:space="preserve">up to the 1860s when women in Britain were encouraged to marry and have children </w:t>
      </w:r>
      <w:r w:rsidR="00584C23" w:rsidRPr="00033A5E">
        <w:rPr>
          <w:sz w:val="24"/>
          <w:szCs w:val="24"/>
        </w:rPr>
        <w:t xml:space="preserve">and to avoid work as the men were seen as the sole “breadwinners” of a household until the Industrial </w:t>
      </w:r>
      <w:r w:rsidR="007F0DF6" w:rsidRPr="00033A5E">
        <w:rPr>
          <w:sz w:val="24"/>
          <w:szCs w:val="24"/>
        </w:rPr>
        <w:t>R</w:t>
      </w:r>
      <w:r w:rsidR="00584C23" w:rsidRPr="00033A5E">
        <w:rPr>
          <w:sz w:val="24"/>
          <w:szCs w:val="24"/>
        </w:rPr>
        <w:t>evolution.</w:t>
      </w:r>
    </w:p>
    <w:p w14:paraId="03630746" w14:textId="77777777" w:rsidR="00B601E1" w:rsidRPr="00033A5E" w:rsidRDefault="00B601E1" w:rsidP="007E07C3">
      <w:pPr>
        <w:spacing w:line="480" w:lineRule="auto"/>
        <w:rPr>
          <w:sz w:val="24"/>
          <w:szCs w:val="24"/>
        </w:rPr>
      </w:pPr>
    </w:p>
    <w:p w14:paraId="1B614EA1" w14:textId="0C64BF4B" w:rsidR="005523D4" w:rsidRDefault="00077D17" w:rsidP="007E07C3">
      <w:pPr>
        <w:spacing w:line="480" w:lineRule="auto"/>
        <w:rPr>
          <w:sz w:val="24"/>
          <w:szCs w:val="24"/>
        </w:rPr>
      </w:pPr>
      <w:r w:rsidRPr="00033A5E">
        <w:rPr>
          <w:sz w:val="24"/>
          <w:szCs w:val="24"/>
        </w:rPr>
        <w:t>Throughout the different classes of Vict</w:t>
      </w:r>
      <w:r w:rsidR="00FB2550" w:rsidRPr="00033A5E">
        <w:rPr>
          <w:sz w:val="24"/>
          <w:szCs w:val="24"/>
        </w:rPr>
        <w:t xml:space="preserve">orian </w:t>
      </w:r>
      <w:r w:rsidR="00202CD4" w:rsidRPr="00033A5E">
        <w:rPr>
          <w:sz w:val="24"/>
          <w:szCs w:val="24"/>
        </w:rPr>
        <w:t>Britain,</w:t>
      </w:r>
      <w:r w:rsidR="00267B24" w:rsidRPr="00033A5E">
        <w:rPr>
          <w:sz w:val="24"/>
          <w:szCs w:val="24"/>
        </w:rPr>
        <w:t xml:space="preserve"> </w:t>
      </w:r>
      <w:r w:rsidR="002A0203" w:rsidRPr="00033A5E">
        <w:rPr>
          <w:sz w:val="24"/>
          <w:szCs w:val="24"/>
        </w:rPr>
        <w:t>the description of women being a “companion to man” is accurate to a certain extent in different situations. Such as pre-1860</w:t>
      </w:r>
      <w:r w:rsidR="005024DF" w:rsidRPr="00033A5E">
        <w:rPr>
          <w:sz w:val="24"/>
          <w:szCs w:val="24"/>
        </w:rPr>
        <w:t>s</w:t>
      </w:r>
      <w:r w:rsidR="002A0203" w:rsidRPr="00033A5E">
        <w:rPr>
          <w:sz w:val="24"/>
          <w:szCs w:val="24"/>
        </w:rPr>
        <w:t xml:space="preserve"> when women couldn’t access the </w:t>
      </w:r>
      <w:r w:rsidR="005523D4" w:rsidRPr="00033A5E">
        <w:rPr>
          <w:sz w:val="24"/>
          <w:szCs w:val="24"/>
        </w:rPr>
        <w:t>work force, with their role and purpose was to please her father then husband then tend to her children and “keep house”</w:t>
      </w:r>
      <w:r w:rsidR="00202CD4" w:rsidRPr="00033A5E">
        <w:rPr>
          <w:sz w:val="24"/>
          <w:szCs w:val="24"/>
        </w:rPr>
        <w:t xml:space="preserve">. </w:t>
      </w:r>
      <w:r w:rsidR="003117E0" w:rsidRPr="00033A5E">
        <w:rPr>
          <w:sz w:val="24"/>
          <w:szCs w:val="24"/>
        </w:rPr>
        <w:t>Within this</w:t>
      </w:r>
      <w:r w:rsidR="008E492B" w:rsidRPr="00033A5E">
        <w:rPr>
          <w:sz w:val="24"/>
          <w:szCs w:val="24"/>
        </w:rPr>
        <w:t xml:space="preserve"> time period women’s value was</w:t>
      </w:r>
      <w:r w:rsidR="003117E0" w:rsidRPr="00033A5E">
        <w:rPr>
          <w:sz w:val="24"/>
          <w:szCs w:val="24"/>
        </w:rPr>
        <w:t xml:space="preserve"> dictated</w:t>
      </w:r>
      <w:r w:rsidR="0017497D" w:rsidRPr="00033A5E">
        <w:rPr>
          <w:sz w:val="24"/>
          <w:szCs w:val="24"/>
        </w:rPr>
        <w:t xml:space="preserve"> </w:t>
      </w:r>
      <w:r w:rsidR="003117E0" w:rsidRPr="00033A5E">
        <w:rPr>
          <w:sz w:val="24"/>
          <w:szCs w:val="24"/>
        </w:rPr>
        <w:t xml:space="preserve">solely by her marital and mother status </w:t>
      </w:r>
      <w:r w:rsidR="009160D7" w:rsidRPr="00033A5E">
        <w:rPr>
          <w:sz w:val="24"/>
          <w:szCs w:val="24"/>
        </w:rPr>
        <w:t xml:space="preserve">and how much she supported her husband. These women </w:t>
      </w:r>
      <w:r w:rsidR="0017497D" w:rsidRPr="00033A5E">
        <w:rPr>
          <w:sz w:val="24"/>
          <w:szCs w:val="24"/>
        </w:rPr>
        <w:t xml:space="preserve">were not allowed to </w:t>
      </w:r>
      <w:r w:rsidR="009160D7" w:rsidRPr="00033A5E">
        <w:rPr>
          <w:sz w:val="24"/>
          <w:szCs w:val="24"/>
        </w:rPr>
        <w:t>have access to their property</w:t>
      </w:r>
      <w:r w:rsidR="00923C01" w:rsidRPr="00033A5E">
        <w:rPr>
          <w:sz w:val="24"/>
          <w:szCs w:val="24"/>
        </w:rPr>
        <w:t xml:space="preserve">, </w:t>
      </w:r>
      <w:r w:rsidR="005024DF" w:rsidRPr="00033A5E">
        <w:rPr>
          <w:sz w:val="24"/>
          <w:szCs w:val="24"/>
        </w:rPr>
        <w:t>finances and could</w:t>
      </w:r>
      <w:r w:rsidR="0017497D" w:rsidRPr="00033A5E">
        <w:rPr>
          <w:sz w:val="24"/>
          <w:szCs w:val="24"/>
        </w:rPr>
        <w:t xml:space="preserve"> </w:t>
      </w:r>
      <w:r w:rsidR="005024DF" w:rsidRPr="00033A5E">
        <w:rPr>
          <w:sz w:val="24"/>
          <w:szCs w:val="24"/>
        </w:rPr>
        <w:t>n</w:t>
      </w:r>
      <w:r w:rsidR="0017497D" w:rsidRPr="00033A5E">
        <w:rPr>
          <w:sz w:val="24"/>
          <w:szCs w:val="24"/>
        </w:rPr>
        <w:t>o</w:t>
      </w:r>
      <w:r w:rsidR="005024DF" w:rsidRPr="00033A5E">
        <w:rPr>
          <w:sz w:val="24"/>
          <w:szCs w:val="24"/>
        </w:rPr>
        <w:t xml:space="preserve">t own property or inherit </w:t>
      </w:r>
      <w:r w:rsidR="009A459C" w:rsidRPr="00033A5E">
        <w:rPr>
          <w:sz w:val="24"/>
          <w:szCs w:val="24"/>
        </w:rPr>
        <w:t xml:space="preserve">property nor titles </w:t>
      </w:r>
      <w:r w:rsidR="005024DF" w:rsidRPr="00033A5E">
        <w:rPr>
          <w:sz w:val="24"/>
          <w:szCs w:val="24"/>
        </w:rPr>
        <w:t>due to ‘</w:t>
      </w:r>
      <w:r w:rsidR="005024DF" w:rsidRPr="00033A5E">
        <w:rPr>
          <w:sz w:val="24"/>
          <w:szCs w:val="24"/>
        </w:rPr>
        <w:t>primogeniture.’</w:t>
      </w:r>
      <w:r w:rsidR="005024DF" w:rsidRPr="00033A5E">
        <w:rPr>
          <w:rStyle w:val="FootnoteReference"/>
          <w:sz w:val="24"/>
          <w:szCs w:val="24"/>
        </w:rPr>
        <w:footnoteReference w:id="36"/>
      </w:r>
      <w:r w:rsidR="009A459C" w:rsidRPr="00033A5E">
        <w:rPr>
          <w:sz w:val="24"/>
          <w:szCs w:val="24"/>
        </w:rPr>
        <w:t xml:space="preserve"> Victorian women were easily discarded </w:t>
      </w:r>
      <w:r w:rsidR="00F67E8A" w:rsidRPr="00033A5E">
        <w:rPr>
          <w:sz w:val="24"/>
          <w:szCs w:val="24"/>
        </w:rPr>
        <w:t>and disregarded due to the belief that women were weaker, more emotional, or hysterical therefore not listened to or taken seriously.</w:t>
      </w:r>
      <w:r w:rsidR="00F67E8A">
        <w:rPr>
          <w:sz w:val="24"/>
          <w:szCs w:val="24"/>
        </w:rPr>
        <w:t xml:space="preserve"> </w:t>
      </w:r>
    </w:p>
    <w:p w14:paraId="7A7A11A9" w14:textId="77777777" w:rsidR="002E7C94" w:rsidRDefault="002E7C94" w:rsidP="007E07C3">
      <w:pPr>
        <w:spacing w:line="480" w:lineRule="auto"/>
        <w:rPr>
          <w:sz w:val="24"/>
          <w:szCs w:val="24"/>
        </w:rPr>
      </w:pPr>
    </w:p>
    <w:p w14:paraId="7D7235EF" w14:textId="092CA218" w:rsidR="00F57E45" w:rsidRDefault="00F57E45" w:rsidP="007E07C3">
      <w:pPr>
        <w:spacing w:line="480" w:lineRule="auto"/>
        <w:rPr>
          <w:sz w:val="24"/>
          <w:szCs w:val="24"/>
        </w:rPr>
      </w:pPr>
    </w:p>
    <w:p w14:paraId="33933FE5" w14:textId="77777777" w:rsidR="00D92122" w:rsidRPr="007E07C3" w:rsidRDefault="00D92122" w:rsidP="007E07C3">
      <w:pPr>
        <w:spacing w:line="480" w:lineRule="auto"/>
        <w:rPr>
          <w:sz w:val="24"/>
          <w:szCs w:val="24"/>
        </w:rPr>
      </w:pPr>
    </w:p>
    <w:sdt>
      <w:sdtPr>
        <w:rPr>
          <w:rFonts w:asciiTheme="minorHAnsi" w:eastAsiaTheme="minorHAnsi" w:hAnsiTheme="minorHAnsi" w:cstheme="minorBidi"/>
          <w:color w:val="auto"/>
          <w:sz w:val="22"/>
          <w:szCs w:val="22"/>
          <w:lang w:val="en-GB"/>
        </w:rPr>
        <w:id w:val="1174918309"/>
        <w:docPartObj>
          <w:docPartGallery w:val="Bibliographies"/>
          <w:docPartUnique/>
        </w:docPartObj>
      </w:sdtPr>
      <w:sdtContent>
        <w:p w14:paraId="6112CA4B" w14:textId="16324EC1" w:rsidR="004D6203" w:rsidRDefault="004D6203">
          <w:pPr>
            <w:pStyle w:val="Heading1"/>
          </w:pPr>
          <w:r>
            <w:t>Bibliography</w:t>
          </w:r>
        </w:p>
        <w:sdt>
          <w:sdtPr>
            <w:id w:val="-1226292706"/>
            <w:bibliography/>
          </w:sdtPr>
          <w:sdtContent>
            <w:p w14:paraId="162583A5" w14:textId="6AAE76C6" w:rsidR="00243834" w:rsidRPr="00243834" w:rsidRDefault="00D107FE" w:rsidP="003706CB">
              <w:pPr>
                <w:spacing w:line="240" w:lineRule="auto"/>
                <w:rPr>
                  <w:sz w:val="24"/>
                  <w:szCs w:val="24"/>
                </w:rPr>
              </w:pPr>
              <w:r>
                <w:rPr>
                  <w:sz w:val="24"/>
                  <w:szCs w:val="24"/>
                </w:rPr>
                <w:t xml:space="preserve">Holy </w:t>
              </w:r>
              <w:r w:rsidR="00243834" w:rsidRPr="00243834">
                <w:rPr>
                  <w:sz w:val="24"/>
                  <w:szCs w:val="24"/>
                </w:rPr>
                <w:t>Bible</w:t>
              </w:r>
              <w:r w:rsidR="00243834">
                <w:rPr>
                  <w:sz w:val="24"/>
                  <w:szCs w:val="24"/>
                </w:rPr>
                <w:t xml:space="preserve">, in </w:t>
              </w:r>
              <w:r w:rsidR="00243834" w:rsidRPr="00243834">
                <w:rPr>
                  <w:sz w:val="24"/>
                  <w:szCs w:val="24"/>
                </w:rPr>
                <w:t>“Genesis 2:20”. New International Version (translated and published 1978)</w:t>
              </w:r>
            </w:p>
            <w:p w14:paraId="0D453FCA" w14:textId="430E4979" w:rsidR="003706CB" w:rsidRDefault="007537E3" w:rsidP="003706CB">
              <w:pPr>
                <w:spacing w:line="240" w:lineRule="auto"/>
                <w:rPr>
                  <w:sz w:val="24"/>
                  <w:szCs w:val="24"/>
                </w:rPr>
              </w:pPr>
              <w:r w:rsidRPr="007537E3">
                <w:rPr>
                  <w:sz w:val="24"/>
                  <w:szCs w:val="24"/>
                </w:rPr>
                <w:t>Hudson, Professor Pat</w:t>
              </w:r>
              <w:r>
                <w:rPr>
                  <w:sz w:val="24"/>
                  <w:szCs w:val="24"/>
                </w:rPr>
                <w:t>. “History – Women’s Work</w:t>
              </w:r>
              <w:r w:rsidR="004A7929">
                <w:rPr>
                  <w:sz w:val="24"/>
                  <w:szCs w:val="24"/>
                </w:rPr>
                <w:t xml:space="preserve">.” BBC, 29/03/2011 </w:t>
              </w:r>
              <w:hyperlink r:id="rId8" w:history="1">
                <w:r w:rsidR="004A7929" w:rsidRPr="004A7929">
                  <w:rPr>
                    <w:rStyle w:val="Hyperlink"/>
                    <w:sz w:val="24"/>
                    <w:szCs w:val="24"/>
                  </w:rPr>
                  <w:t>&lt;https://www.bbc.co.uk/history/british/victorians/womens_work_</w:t>
                </w:r>
                <w:r w:rsidR="004A7929" w:rsidRPr="004A7929">
                  <w:rPr>
                    <w:rStyle w:val="Hyperlink"/>
                    <w:sz w:val="24"/>
                    <w:szCs w:val="24"/>
                  </w:rPr>
                  <w:t>0</w:t>
                </w:r>
                <w:r w:rsidR="004A7929" w:rsidRPr="004A7929">
                  <w:rPr>
                    <w:rStyle w:val="Hyperlink"/>
                    <w:sz w:val="24"/>
                    <w:szCs w:val="24"/>
                  </w:rPr>
                  <w:t>1.shtml&gt;</w:t>
                </w:r>
              </w:hyperlink>
            </w:p>
            <w:p w14:paraId="0BFD1384" w14:textId="17E6D34F" w:rsidR="00CD5539" w:rsidRDefault="003B0472" w:rsidP="003706CB">
              <w:pPr>
                <w:spacing w:line="240" w:lineRule="auto"/>
                <w:rPr>
                  <w:rFonts w:cstheme="minorHAnsi"/>
                  <w:sz w:val="24"/>
                  <w:szCs w:val="24"/>
                </w:rPr>
              </w:pPr>
              <w:r w:rsidRPr="00B73E20">
                <w:rPr>
                  <w:sz w:val="24"/>
                  <w:szCs w:val="24"/>
                </w:rPr>
                <w:t xml:space="preserve">Levine-Clark, </w:t>
              </w:r>
              <w:r w:rsidRPr="00B73E20">
                <w:rPr>
                  <w:rFonts w:cstheme="minorHAnsi"/>
                  <w:sz w:val="24"/>
                  <w:szCs w:val="24"/>
                </w:rPr>
                <w:t xml:space="preserve">Marjorie. </w:t>
              </w:r>
              <w:r w:rsidRPr="000F1446">
                <w:rPr>
                  <w:rFonts w:cstheme="minorHAnsi"/>
                  <w:i/>
                  <w:iCs/>
                  <w:sz w:val="24"/>
                  <w:szCs w:val="24"/>
                </w:rPr>
                <w:t>Engendering Relief: Women, Ablebodiedness, and the New Poor Law in Early Victorian England</w:t>
              </w:r>
              <w:r w:rsidR="000F1446">
                <w:rPr>
                  <w:rFonts w:cstheme="minorHAnsi"/>
                  <w:i/>
                  <w:iCs/>
                  <w:sz w:val="24"/>
                  <w:szCs w:val="24"/>
                </w:rPr>
                <w:t>,</w:t>
              </w:r>
              <w:r w:rsidR="000F1446" w:rsidRPr="000F1446">
                <w:rPr>
                  <w:rFonts w:cstheme="minorHAnsi"/>
                  <w:sz w:val="24"/>
                  <w:szCs w:val="24"/>
                </w:rPr>
                <w:t xml:space="preserve"> in</w:t>
              </w:r>
              <w:r w:rsidR="000F1446">
                <w:rPr>
                  <w:rFonts w:cstheme="minorHAnsi"/>
                  <w:i/>
                  <w:iCs/>
                  <w:sz w:val="24"/>
                  <w:szCs w:val="24"/>
                </w:rPr>
                <w:t xml:space="preserve"> </w:t>
              </w:r>
              <w:r w:rsidRPr="00B73E20">
                <w:rPr>
                  <w:rFonts w:cstheme="minorHAnsi"/>
                  <w:sz w:val="24"/>
                  <w:szCs w:val="24"/>
                </w:rPr>
                <w:t>Women’s History</w:t>
              </w:r>
              <w:r w:rsidR="000F1446">
                <w:rPr>
                  <w:rFonts w:cstheme="minorHAnsi"/>
                  <w:sz w:val="24"/>
                  <w:szCs w:val="24"/>
                </w:rPr>
                <w:t xml:space="preserve">. </w:t>
              </w:r>
              <w:r w:rsidRPr="00B73E20">
                <w:rPr>
                  <w:rFonts w:cstheme="minorHAnsi"/>
                  <w:sz w:val="24"/>
                  <w:szCs w:val="24"/>
                </w:rPr>
                <w:t>Vol. 11 Issue 4. 2000</w:t>
              </w:r>
            </w:p>
            <w:p w14:paraId="4274B44D" w14:textId="0068EF8D" w:rsidR="003706CB" w:rsidRDefault="00C16A7F" w:rsidP="003706CB">
              <w:pPr>
                <w:pStyle w:val="FootnoteText"/>
                <w:spacing w:before="100" w:beforeAutospacing="1" w:after="100" w:afterAutospacing="1"/>
                <w:rPr>
                  <w:sz w:val="24"/>
                  <w:szCs w:val="24"/>
                </w:rPr>
              </w:pPr>
              <w:r>
                <w:rPr>
                  <w:sz w:val="24"/>
                  <w:szCs w:val="24"/>
                </w:rPr>
                <w:lastRenderedPageBreak/>
                <w:t xml:space="preserve">Scott, </w:t>
              </w:r>
              <w:r w:rsidRPr="00C16A7F">
                <w:rPr>
                  <w:sz w:val="24"/>
                  <w:szCs w:val="24"/>
                </w:rPr>
                <w:t xml:space="preserve">Joan W. Review of </w:t>
              </w:r>
              <w:r w:rsidRPr="00C16A7F">
                <w:rPr>
                  <w:i/>
                  <w:iCs/>
                  <w:sz w:val="24"/>
                  <w:szCs w:val="24"/>
                </w:rPr>
                <w:t xml:space="preserve">Victorian Ladies at Work: Middle-Class Working Women in England and Wales, 1850-1914 by Lee Holcombe </w:t>
              </w:r>
              <w:r w:rsidRPr="00C16A7F">
                <w:rPr>
                  <w:sz w:val="24"/>
                  <w:szCs w:val="24"/>
                </w:rPr>
                <w:t>in The Journal of Modern History. Vol. 46, No. 4. 1974</w:t>
              </w:r>
              <w:r w:rsidR="00D92122">
                <w:rPr>
                  <w:sz w:val="24"/>
                  <w:szCs w:val="24"/>
                </w:rPr>
                <w:t>, pp.</w:t>
              </w:r>
              <w:r w:rsidR="000F1446">
                <w:rPr>
                  <w:sz w:val="24"/>
                  <w:szCs w:val="24"/>
                </w:rPr>
                <w:t>713-715</w:t>
              </w:r>
            </w:p>
            <w:p w14:paraId="623D72CF" w14:textId="5DD5D08E" w:rsidR="003706CB" w:rsidRPr="003706CB" w:rsidRDefault="003706CB" w:rsidP="003706CB">
              <w:pPr>
                <w:pStyle w:val="FootnoteText"/>
                <w:spacing w:before="100" w:beforeAutospacing="1" w:after="100" w:afterAutospacing="1"/>
                <w:rPr>
                  <w:sz w:val="24"/>
                  <w:szCs w:val="24"/>
                </w:rPr>
              </w:pPr>
              <w:r>
                <w:rPr>
                  <w:sz w:val="24"/>
                  <w:szCs w:val="24"/>
                </w:rPr>
                <w:t xml:space="preserve">Steinbach, Susie. </w:t>
              </w:r>
              <w:r w:rsidR="00637C49">
                <w:rPr>
                  <w:rFonts w:cstheme="minorHAnsi"/>
                  <w:sz w:val="24"/>
                  <w:szCs w:val="24"/>
                </w:rPr>
                <w:t>Understanding the Victorians: politics, culture, and society in nineteenth-century Britain. London: Routledge (2012)</w:t>
              </w:r>
            </w:p>
            <w:p w14:paraId="2C037ABF" w14:textId="6F07ECB9" w:rsidR="00BF7F1E" w:rsidRPr="003B0472" w:rsidRDefault="00000000" w:rsidP="004A6A75">
              <w:pPr>
                <w:spacing w:line="276" w:lineRule="auto"/>
                <w:rPr>
                  <w:rFonts w:cstheme="minorHAnsi"/>
                  <w:sz w:val="24"/>
                  <w:szCs w:val="24"/>
                </w:rPr>
              </w:pPr>
            </w:p>
          </w:sdtContent>
        </w:sdt>
      </w:sdtContent>
    </w:sdt>
    <w:sectPr w:rsidR="00BF7F1E" w:rsidRPr="003B0472" w:rsidSect="000C49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56C4" w14:textId="77777777" w:rsidR="00A809C2" w:rsidRDefault="00A809C2" w:rsidP="002A2A01">
      <w:pPr>
        <w:spacing w:after="0" w:line="240" w:lineRule="auto"/>
      </w:pPr>
      <w:r>
        <w:separator/>
      </w:r>
    </w:p>
  </w:endnote>
  <w:endnote w:type="continuationSeparator" w:id="0">
    <w:p w14:paraId="4D6CD1D2" w14:textId="77777777" w:rsidR="00A809C2" w:rsidRDefault="00A809C2" w:rsidP="002A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445F" w14:textId="77777777" w:rsidR="00A809C2" w:rsidRDefault="00A809C2" w:rsidP="002A2A01">
      <w:pPr>
        <w:spacing w:after="0" w:line="240" w:lineRule="auto"/>
      </w:pPr>
      <w:r>
        <w:separator/>
      </w:r>
    </w:p>
  </w:footnote>
  <w:footnote w:type="continuationSeparator" w:id="0">
    <w:p w14:paraId="081B9EAB" w14:textId="77777777" w:rsidR="00A809C2" w:rsidRDefault="00A809C2" w:rsidP="002A2A01">
      <w:pPr>
        <w:spacing w:after="0" w:line="240" w:lineRule="auto"/>
      </w:pPr>
      <w:r>
        <w:continuationSeparator/>
      </w:r>
    </w:p>
  </w:footnote>
  <w:footnote w:id="1">
    <w:p w14:paraId="0E88D9FA" w14:textId="056FE2CB" w:rsidR="00797226" w:rsidRPr="00404B22" w:rsidRDefault="00797226">
      <w:pPr>
        <w:pStyle w:val="FootnoteText"/>
      </w:pPr>
      <w:r w:rsidRPr="00404B22">
        <w:rPr>
          <w:rStyle w:val="FootnoteReference"/>
        </w:rPr>
        <w:footnoteRef/>
      </w:r>
      <w:r w:rsidRPr="00404B22">
        <w:t xml:space="preserve"> Tristram Hunt. Building Jerusalem: </w:t>
      </w:r>
      <w:proofErr w:type="gramStart"/>
      <w:r w:rsidRPr="00404B22">
        <w:t>the</w:t>
      </w:r>
      <w:proofErr w:type="gramEnd"/>
      <w:r w:rsidRPr="00404B22">
        <w:t xml:space="preserve"> Rise and Fall of the Victorian City. London: Phoenix (2005)</w:t>
      </w:r>
      <w:r w:rsidR="002134FC" w:rsidRPr="00404B22">
        <w:t>,</w:t>
      </w:r>
      <w:r w:rsidRPr="00404B22">
        <w:t xml:space="preserve"> pp.14</w:t>
      </w:r>
    </w:p>
  </w:footnote>
  <w:footnote w:id="2">
    <w:p w14:paraId="5240C847" w14:textId="518F6704" w:rsidR="002E1B3A" w:rsidRPr="00404B22" w:rsidRDefault="002E1B3A" w:rsidP="002E1B3A">
      <w:pPr>
        <w:pStyle w:val="FootnoteText"/>
      </w:pPr>
      <w:r w:rsidRPr="00404B22">
        <w:rPr>
          <w:rStyle w:val="FootnoteReference"/>
        </w:rPr>
        <w:footnoteRef/>
      </w:r>
      <w:r w:rsidRPr="00404B22">
        <w:t xml:space="preserve"> Malcolm Miles. Cities and Cultures. London: Routledge (2007)</w:t>
      </w:r>
      <w:r w:rsidR="002134FC" w:rsidRPr="00404B22">
        <w:t>,</w:t>
      </w:r>
      <w:r w:rsidRPr="00404B22">
        <w:t xml:space="preserve"> pp.26</w:t>
      </w:r>
    </w:p>
  </w:footnote>
  <w:footnote w:id="3">
    <w:p w14:paraId="2C9BB61E" w14:textId="145899D2" w:rsidR="00E94182" w:rsidRPr="00404B22" w:rsidRDefault="00E94182">
      <w:pPr>
        <w:pStyle w:val="FootnoteText"/>
      </w:pPr>
      <w:r w:rsidRPr="00404B22">
        <w:rPr>
          <w:rStyle w:val="FootnoteReference"/>
        </w:rPr>
        <w:footnoteRef/>
      </w:r>
      <w:r w:rsidRPr="00404B22">
        <w:t xml:space="preserve"> </w:t>
      </w:r>
      <w:r w:rsidR="00DC67C9" w:rsidRPr="00404B22">
        <w:t xml:space="preserve">James Shuttleworth </w:t>
      </w:r>
      <w:r w:rsidR="002B7808" w:rsidRPr="00404B22">
        <w:t>Kay</w:t>
      </w:r>
      <w:r w:rsidR="00DC67C9" w:rsidRPr="00404B22">
        <w:t>. The Moral and Physical Condition of the Working Class employed in the Cotton Manufacture in Manchester</w:t>
      </w:r>
      <w:r w:rsidR="002B7808" w:rsidRPr="00404B22">
        <w:t xml:space="preserve"> (</w:t>
      </w:r>
      <w:r w:rsidR="00FE4A8D" w:rsidRPr="00404B22">
        <w:t>1832)</w:t>
      </w:r>
    </w:p>
  </w:footnote>
  <w:footnote w:id="4">
    <w:p w14:paraId="69B1B88C" w14:textId="5F9D2F03" w:rsidR="007611ED" w:rsidRPr="00404B22" w:rsidRDefault="007611ED">
      <w:pPr>
        <w:pStyle w:val="FootnoteText"/>
      </w:pPr>
      <w:r w:rsidRPr="00404B22">
        <w:rPr>
          <w:rStyle w:val="FootnoteReference"/>
        </w:rPr>
        <w:footnoteRef/>
      </w:r>
      <w:r w:rsidRPr="00404B22">
        <w:t xml:space="preserve"> Recollections of Henry Broadhurst, and Oxfordshire Stone Mason</w:t>
      </w:r>
    </w:p>
  </w:footnote>
  <w:footnote w:id="5">
    <w:p w14:paraId="447DEFE9" w14:textId="7CBE6CC8" w:rsidR="00AC4C7B" w:rsidRPr="00404B22" w:rsidRDefault="00AC4C7B">
      <w:pPr>
        <w:pStyle w:val="FootnoteText"/>
      </w:pPr>
      <w:r w:rsidRPr="00404B22">
        <w:rPr>
          <w:rStyle w:val="FootnoteReference"/>
        </w:rPr>
        <w:footnoteRef/>
      </w:r>
      <w:r w:rsidRPr="00404B22">
        <w:t xml:space="preserve"> Karl Marx. Capital: The Comm</w:t>
      </w:r>
      <w:r w:rsidR="00A56499" w:rsidRPr="00404B22">
        <w:t>unist Manifesto and Other Writings (1932)</w:t>
      </w:r>
    </w:p>
  </w:footnote>
  <w:footnote w:id="6">
    <w:p w14:paraId="5D884976" w14:textId="568CFB4E" w:rsidR="00DC3650" w:rsidRDefault="00DC3650">
      <w:pPr>
        <w:pStyle w:val="FootnoteText"/>
      </w:pPr>
      <w:r w:rsidRPr="00404B22">
        <w:rPr>
          <w:rStyle w:val="FootnoteReference"/>
        </w:rPr>
        <w:footnoteRef/>
      </w:r>
      <w:r w:rsidRPr="00404B22">
        <w:t xml:space="preserve"> Jennifer Robinson. Ordinary Cities</w:t>
      </w:r>
      <w:r w:rsidR="00B7333F" w:rsidRPr="00404B22">
        <w:t>. London: Routledge (2006)</w:t>
      </w:r>
    </w:p>
  </w:footnote>
  <w:footnote w:id="7">
    <w:p w14:paraId="49CBFA46" w14:textId="230594DF" w:rsidR="00B7333F" w:rsidRPr="00404B22" w:rsidRDefault="00B7333F">
      <w:pPr>
        <w:pStyle w:val="FootnoteText"/>
      </w:pPr>
      <w:r w:rsidRPr="00404B22">
        <w:rPr>
          <w:rStyle w:val="FootnoteReference"/>
        </w:rPr>
        <w:footnoteRef/>
      </w:r>
      <w:r w:rsidRPr="00404B22">
        <w:t xml:space="preserve"> William Blake. The Tyger </w:t>
      </w:r>
      <w:r w:rsidR="00153DE6" w:rsidRPr="00404B22">
        <w:t xml:space="preserve">in Songs of Experience </w:t>
      </w:r>
      <w:r w:rsidR="00277556" w:rsidRPr="00404B22">
        <w:t>(1794)</w:t>
      </w:r>
    </w:p>
  </w:footnote>
  <w:footnote w:id="8">
    <w:p w14:paraId="0CE438CD" w14:textId="231A3B63" w:rsidR="003149DC" w:rsidRPr="00404B22" w:rsidRDefault="003149DC">
      <w:pPr>
        <w:pStyle w:val="FootnoteText"/>
      </w:pPr>
      <w:r w:rsidRPr="00404B22">
        <w:rPr>
          <w:rStyle w:val="FootnoteReference"/>
        </w:rPr>
        <w:footnoteRef/>
      </w:r>
      <w:r w:rsidRPr="00404B22">
        <w:t xml:space="preserve"> </w:t>
      </w:r>
      <w:r w:rsidR="00FE765A" w:rsidRPr="00404B22">
        <w:t xml:space="preserve">Vanessa Heggie. </w:t>
      </w:r>
      <w:r w:rsidR="00FE765A" w:rsidRPr="00404B22">
        <w:rPr>
          <w:i/>
          <w:iCs/>
        </w:rPr>
        <w:t xml:space="preserve">Doctors, welfare, and the deadly workhouse. </w:t>
      </w:r>
      <w:r w:rsidR="00FE765A" w:rsidRPr="00404B22">
        <w:t>The H word. The Guardian, 27/11/2012</w:t>
      </w:r>
    </w:p>
  </w:footnote>
  <w:footnote w:id="9">
    <w:p w14:paraId="2D34CA4E" w14:textId="74BFB1FE" w:rsidR="00AC5D17" w:rsidRDefault="00AC5D17">
      <w:pPr>
        <w:pStyle w:val="FootnoteText"/>
      </w:pPr>
      <w:r w:rsidRPr="00404B22">
        <w:rPr>
          <w:rStyle w:val="FootnoteReference"/>
        </w:rPr>
        <w:footnoteRef/>
      </w:r>
      <w:r w:rsidRPr="00404B22">
        <w:t xml:space="preserve"> </w:t>
      </w:r>
      <w:r w:rsidR="002C235D" w:rsidRPr="00404B22">
        <w:t xml:space="preserve">Victorian Cities Lecture, Source Sheet. Source 14: </w:t>
      </w:r>
      <w:r w:rsidR="00BA7347" w:rsidRPr="00404B22">
        <w:t>Growth of Principle Cities 1800-1841</w:t>
      </w:r>
    </w:p>
  </w:footnote>
  <w:footnote w:id="10">
    <w:p w14:paraId="51201F1A" w14:textId="77777777" w:rsidR="00103387" w:rsidRPr="00404B22" w:rsidRDefault="00103387" w:rsidP="00103387">
      <w:pPr>
        <w:pStyle w:val="FootnoteText"/>
      </w:pPr>
      <w:r w:rsidRPr="00404B22">
        <w:rPr>
          <w:rStyle w:val="FootnoteReference"/>
        </w:rPr>
        <w:footnoteRef/>
      </w:r>
      <w:r w:rsidRPr="00404B22">
        <w:t xml:space="preserve"> Hunt, pp.13, pp.21</w:t>
      </w:r>
    </w:p>
  </w:footnote>
  <w:footnote w:id="11">
    <w:p w14:paraId="68BCA73E" w14:textId="77777777" w:rsidR="000D6BBC" w:rsidRPr="00404B22" w:rsidRDefault="000D6BBC" w:rsidP="000D6BBC">
      <w:pPr>
        <w:pStyle w:val="FootnoteText"/>
      </w:pPr>
      <w:r w:rsidRPr="00404B22">
        <w:rPr>
          <w:rStyle w:val="FootnoteReference"/>
        </w:rPr>
        <w:footnoteRef/>
      </w:r>
      <w:r w:rsidRPr="00404B22">
        <w:t xml:space="preserve"> Clara Greed and David Johnson. Planning the UK. Bloomsbury Academic (2014), pp.84</w:t>
      </w:r>
    </w:p>
  </w:footnote>
  <w:footnote w:id="12">
    <w:p w14:paraId="16167FBB" w14:textId="77777777" w:rsidR="00727FF5" w:rsidRPr="00404B22" w:rsidRDefault="00727FF5" w:rsidP="00727FF5">
      <w:pPr>
        <w:pStyle w:val="FootnoteText"/>
      </w:pPr>
      <w:r w:rsidRPr="00404B22">
        <w:rPr>
          <w:rStyle w:val="FootnoteReference"/>
        </w:rPr>
        <w:footnoteRef/>
      </w:r>
      <w:r w:rsidRPr="00404B22">
        <w:t xml:space="preserve"> Greed and Johnson, pp.84</w:t>
      </w:r>
    </w:p>
  </w:footnote>
  <w:footnote w:id="13">
    <w:p w14:paraId="5EF90F09" w14:textId="5641DFAA" w:rsidR="007A5076" w:rsidRPr="00404B22" w:rsidRDefault="007A5076">
      <w:pPr>
        <w:pStyle w:val="FootnoteText"/>
      </w:pPr>
      <w:r w:rsidRPr="00404B22">
        <w:rPr>
          <w:rStyle w:val="FootnoteReference"/>
        </w:rPr>
        <w:footnoteRef/>
      </w:r>
      <w:r w:rsidRPr="00404B22">
        <w:t xml:space="preserve"> Kay</w:t>
      </w:r>
      <w:r w:rsidR="002134FC" w:rsidRPr="00404B22">
        <w:rPr>
          <w:rFonts w:cstheme="minorHAnsi"/>
          <w:lang w:val="en"/>
        </w:rPr>
        <w:t xml:space="preserve"> (1832)</w:t>
      </w:r>
    </w:p>
  </w:footnote>
  <w:footnote w:id="14">
    <w:p w14:paraId="54A55581" w14:textId="77777777" w:rsidR="001A74FD" w:rsidRDefault="001A74FD" w:rsidP="001A74FD">
      <w:pPr>
        <w:pStyle w:val="FootnoteText"/>
      </w:pPr>
      <w:r w:rsidRPr="00404B22">
        <w:rPr>
          <w:rStyle w:val="FootnoteReference"/>
        </w:rPr>
        <w:footnoteRef/>
      </w:r>
      <w:r w:rsidRPr="00404B22">
        <w:t xml:space="preserve"> Charles Dickens. Bleak House (1853), pp.1, pp.1</w:t>
      </w:r>
    </w:p>
  </w:footnote>
  <w:footnote w:id="15">
    <w:p w14:paraId="6F9CC9C8" w14:textId="77777777" w:rsidR="002636E5" w:rsidRPr="000536E0" w:rsidRDefault="002636E5" w:rsidP="002636E5">
      <w:pPr>
        <w:pStyle w:val="FootnoteText"/>
      </w:pPr>
      <w:r w:rsidRPr="000536E0">
        <w:rPr>
          <w:rStyle w:val="FootnoteReference"/>
        </w:rPr>
        <w:footnoteRef/>
      </w:r>
      <w:r w:rsidRPr="000536E0">
        <w:t xml:space="preserve"> Marjorie Levine-Clark. Engendering Relief: Women, Ablebodiedness, and the New Poor Law in Early Victorian England. Women’s History, Vol. 11. Issue 4 (2000) pp.107-108</w:t>
      </w:r>
    </w:p>
  </w:footnote>
  <w:footnote w:id="16">
    <w:p w14:paraId="3BE09A3D" w14:textId="6C61B8D6" w:rsidR="001B423B" w:rsidRPr="000536E0" w:rsidRDefault="001B423B">
      <w:pPr>
        <w:pStyle w:val="FootnoteText"/>
      </w:pPr>
      <w:r w:rsidRPr="000536E0">
        <w:rPr>
          <w:rStyle w:val="FootnoteReference"/>
        </w:rPr>
        <w:footnoteRef/>
      </w:r>
      <w:r w:rsidRPr="000536E0">
        <w:t xml:space="preserve"> Ibid, pp.108</w:t>
      </w:r>
    </w:p>
  </w:footnote>
  <w:footnote w:id="17">
    <w:p w14:paraId="77FF6CA4" w14:textId="0E5B5D08" w:rsidR="007749BB" w:rsidRPr="000536E0" w:rsidRDefault="007749BB">
      <w:pPr>
        <w:pStyle w:val="FootnoteText"/>
      </w:pPr>
      <w:r w:rsidRPr="000536E0">
        <w:rPr>
          <w:rStyle w:val="FootnoteReference"/>
        </w:rPr>
        <w:footnoteRef/>
      </w:r>
      <w:r w:rsidRPr="000536E0">
        <w:t xml:space="preserve"> Susan Steinbach. Understanding the Vic</w:t>
      </w:r>
      <w:r w:rsidR="004202B5" w:rsidRPr="000536E0">
        <w:t>torians: politics, culture, and society in nineteenth-century Britain. London: Routledge (2012)</w:t>
      </w:r>
      <w:r w:rsidR="00BD0907" w:rsidRPr="000536E0">
        <w:t xml:space="preserve"> pp.133</w:t>
      </w:r>
      <w:r w:rsidR="007D0F3B" w:rsidRPr="000536E0">
        <w:t>, pp.141</w:t>
      </w:r>
    </w:p>
  </w:footnote>
  <w:footnote w:id="18">
    <w:p w14:paraId="38E67C33" w14:textId="4442D5C2" w:rsidR="00DB5514" w:rsidRPr="000536E0" w:rsidRDefault="00DB5514">
      <w:pPr>
        <w:pStyle w:val="FootnoteText"/>
      </w:pPr>
      <w:r w:rsidRPr="000536E0">
        <w:rPr>
          <w:rStyle w:val="FootnoteReference"/>
        </w:rPr>
        <w:footnoteRef/>
      </w:r>
      <w:r w:rsidRPr="000536E0">
        <w:t xml:space="preserve"> </w:t>
      </w:r>
      <w:r w:rsidR="00345486" w:rsidRPr="000536E0">
        <w:t>Ibid, pp.136</w:t>
      </w:r>
      <w:r w:rsidR="000606E5" w:rsidRPr="000536E0">
        <w:t>, pp.136, pp.136</w:t>
      </w:r>
    </w:p>
  </w:footnote>
  <w:footnote w:id="19">
    <w:p w14:paraId="219A6AB3" w14:textId="37DEC509" w:rsidR="00557B3E" w:rsidRDefault="00557B3E">
      <w:pPr>
        <w:pStyle w:val="FootnoteText"/>
      </w:pPr>
      <w:r w:rsidRPr="000536E0">
        <w:rPr>
          <w:rStyle w:val="FootnoteReference"/>
        </w:rPr>
        <w:footnoteRef/>
      </w:r>
      <w:r w:rsidRPr="000536E0">
        <w:t xml:space="preserve"> Ibid, pp.</w:t>
      </w:r>
      <w:r w:rsidR="006A010B" w:rsidRPr="000536E0">
        <w:t>136</w:t>
      </w:r>
    </w:p>
  </w:footnote>
  <w:footnote w:id="20">
    <w:p w14:paraId="1E2602F8" w14:textId="77777777" w:rsidR="00614196" w:rsidRPr="000536E0" w:rsidRDefault="00614196" w:rsidP="00614196">
      <w:pPr>
        <w:pStyle w:val="FootnoteText"/>
      </w:pPr>
      <w:r w:rsidRPr="000536E0">
        <w:rPr>
          <w:rStyle w:val="FootnoteReference"/>
        </w:rPr>
        <w:footnoteRef/>
      </w:r>
      <w:r w:rsidRPr="000536E0">
        <w:t xml:space="preserve"> Joan W. Scott. Review of </w:t>
      </w:r>
      <w:r w:rsidRPr="000536E0">
        <w:rPr>
          <w:i/>
          <w:iCs/>
        </w:rPr>
        <w:t xml:space="preserve">Victorian Ladies at Work: Middle-Class Working Women in England and Wales, 1850-1914 by Lee Holcombe </w:t>
      </w:r>
      <w:r w:rsidRPr="000536E0">
        <w:t>in The Journal of Modern History. Vol. 46, No. 4. 1974, pp.714, pp.714, pp.714</w:t>
      </w:r>
    </w:p>
  </w:footnote>
  <w:footnote w:id="21">
    <w:p w14:paraId="334CA967" w14:textId="77777777" w:rsidR="00614196" w:rsidRPr="000536E0" w:rsidRDefault="00614196" w:rsidP="00614196">
      <w:pPr>
        <w:pStyle w:val="FootnoteText"/>
      </w:pPr>
      <w:r w:rsidRPr="000536E0">
        <w:rPr>
          <w:rStyle w:val="FootnoteReference"/>
        </w:rPr>
        <w:footnoteRef/>
      </w:r>
      <w:r w:rsidRPr="000536E0">
        <w:t xml:space="preserve"> Ibid, pp.714, pp.714</w:t>
      </w:r>
    </w:p>
  </w:footnote>
  <w:footnote w:id="22">
    <w:p w14:paraId="1F0BAEEF" w14:textId="77777777" w:rsidR="00614196" w:rsidRPr="000536E0" w:rsidRDefault="00614196" w:rsidP="00614196">
      <w:pPr>
        <w:pStyle w:val="FootnoteText"/>
      </w:pPr>
      <w:r w:rsidRPr="000536E0">
        <w:rPr>
          <w:rStyle w:val="FootnoteReference"/>
        </w:rPr>
        <w:footnoteRef/>
      </w:r>
      <w:r w:rsidRPr="000536E0">
        <w:t xml:space="preserve"> Ibid, pp.713</w:t>
      </w:r>
    </w:p>
  </w:footnote>
  <w:footnote w:id="23">
    <w:p w14:paraId="1E42CA7D" w14:textId="77777777" w:rsidR="00614196" w:rsidRPr="000536E0" w:rsidRDefault="00614196" w:rsidP="00614196">
      <w:pPr>
        <w:pStyle w:val="FootnoteText"/>
      </w:pPr>
      <w:r w:rsidRPr="000536E0">
        <w:rPr>
          <w:rStyle w:val="FootnoteReference"/>
        </w:rPr>
        <w:footnoteRef/>
      </w:r>
      <w:r w:rsidRPr="000536E0">
        <w:t xml:space="preserve"> Levine-Clark, pp.108</w:t>
      </w:r>
    </w:p>
  </w:footnote>
  <w:footnote w:id="24">
    <w:p w14:paraId="035ED1B7" w14:textId="77777777" w:rsidR="00614196" w:rsidRPr="000536E0" w:rsidRDefault="00614196" w:rsidP="00614196">
      <w:pPr>
        <w:pStyle w:val="FootnoteText"/>
      </w:pPr>
      <w:r w:rsidRPr="000536E0">
        <w:rPr>
          <w:rStyle w:val="FootnoteReference"/>
        </w:rPr>
        <w:footnoteRef/>
      </w:r>
      <w:r w:rsidRPr="000536E0">
        <w:t xml:space="preserve"> Professor Pat Hudson. “History - Women’s Work.” BBC, 29/03/2011 &lt;https://www.bbc.co.uk/history/british/victorians/womens_work_01.shtml&gt;</w:t>
      </w:r>
    </w:p>
  </w:footnote>
  <w:footnote w:id="25">
    <w:p w14:paraId="54C69CAB" w14:textId="4B2FB8FB" w:rsidR="00A174E9" w:rsidRDefault="00A174E9">
      <w:pPr>
        <w:pStyle w:val="FootnoteText"/>
      </w:pPr>
      <w:r w:rsidRPr="000536E0">
        <w:rPr>
          <w:rStyle w:val="FootnoteReference"/>
        </w:rPr>
        <w:footnoteRef/>
      </w:r>
      <w:r w:rsidRPr="000536E0">
        <w:t xml:space="preserve"> Ibid, pp.140-141</w:t>
      </w:r>
    </w:p>
  </w:footnote>
  <w:footnote w:id="26">
    <w:p w14:paraId="018CD708" w14:textId="77777777" w:rsidR="00985705" w:rsidRDefault="00985705" w:rsidP="00985705">
      <w:pPr>
        <w:pStyle w:val="FootnoteText"/>
      </w:pPr>
      <w:r>
        <w:rPr>
          <w:rStyle w:val="FootnoteReference"/>
        </w:rPr>
        <w:footnoteRef/>
      </w:r>
      <w:r>
        <w:t xml:space="preserve"> Steinbach, pp.140</w:t>
      </w:r>
    </w:p>
  </w:footnote>
  <w:footnote w:id="27">
    <w:p w14:paraId="756F3A2A" w14:textId="4D2E9409" w:rsidR="00CD3F91" w:rsidRDefault="00CD3F91">
      <w:pPr>
        <w:pStyle w:val="FootnoteText"/>
      </w:pPr>
      <w:r>
        <w:rPr>
          <w:rStyle w:val="FootnoteReference"/>
        </w:rPr>
        <w:footnoteRef/>
      </w:r>
      <w:r>
        <w:t xml:space="preserve"> </w:t>
      </w:r>
      <w:r w:rsidR="00DE6ED2">
        <w:t>Ibid, pp. 143</w:t>
      </w:r>
    </w:p>
  </w:footnote>
  <w:footnote w:id="28">
    <w:p w14:paraId="1C4523E1" w14:textId="77777777" w:rsidR="00427D80" w:rsidRDefault="00427D80" w:rsidP="00427D80">
      <w:pPr>
        <w:pStyle w:val="FootnoteText"/>
      </w:pPr>
      <w:r>
        <w:rPr>
          <w:rStyle w:val="FootnoteReference"/>
        </w:rPr>
        <w:footnoteRef/>
      </w:r>
      <w:r>
        <w:t xml:space="preserve"> Ibid, pp.136</w:t>
      </w:r>
    </w:p>
  </w:footnote>
  <w:footnote w:id="29">
    <w:p w14:paraId="1BB9C34C" w14:textId="49903CCD" w:rsidR="007B0683" w:rsidRDefault="007B0683">
      <w:pPr>
        <w:pStyle w:val="FootnoteText"/>
      </w:pPr>
      <w:r>
        <w:rPr>
          <w:rStyle w:val="FootnoteReference"/>
        </w:rPr>
        <w:footnoteRef/>
      </w:r>
      <w:r>
        <w:t xml:space="preserve"> </w:t>
      </w:r>
      <w:r w:rsidR="00BB3AC0">
        <w:t>Ibid, pp.141</w:t>
      </w:r>
    </w:p>
  </w:footnote>
  <w:footnote w:id="30">
    <w:p w14:paraId="0D58CE19" w14:textId="77777777" w:rsidR="009F43D9" w:rsidRDefault="009F43D9" w:rsidP="009F43D9">
      <w:pPr>
        <w:pStyle w:val="FootnoteText"/>
      </w:pPr>
      <w:r>
        <w:rPr>
          <w:rStyle w:val="FootnoteReference"/>
        </w:rPr>
        <w:footnoteRef/>
      </w:r>
      <w:r>
        <w:t xml:space="preserve"> Ibid, pp.141</w:t>
      </w:r>
    </w:p>
  </w:footnote>
  <w:footnote w:id="31">
    <w:p w14:paraId="42AA794E" w14:textId="147B6331" w:rsidR="00EC3516" w:rsidRPr="000536E0" w:rsidRDefault="00EC3516" w:rsidP="00EC3516">
      <w:pPr>
        <w:pStyle w:val="FootnoteText"/>
      </w:pPr>
      <w:r w:rsidRPr="000536E0">
        <w:rPr>
          <w:rStyle w:val="FootnoteReference"/>
        </w:rPr>
        <w:footnoteRef/>
      </w:r>
      <w:r w:rsidRPr="000536E0">
        <w:t xml:space="preserve"> Ibid, pp.143</w:t>
      </w:r>
    </w:p>
  </w:footnote>
  <w:footnote w:id="32">
    <w:p w14:paraId="14679E54" w14:textId="2A201EB0" w:rsidR="0035622F" w:rsidRPr="000536E0" w:rsidRDefault="0035622F">
      <w:pPr>
        <w:pStyle w:val="FootnoteText"/>
      </w:pPr>
      <w:r w:rsidRPr="000536E0">
        <w:rPr>
          <w:rStyle w:val="FootnoteReference"/>
        </w:rPr>
        <w:footnoteRef/>
      </w:r>
      <w:r w:rsidRPr="000536E0">
        <w:t xml:space="preserve"> </w:t>
      </w:r>
      <w:r w:rsidR="00D107FE" w:rsidRPr="000536E0">
        <w:t xml:space="preserve">Holy </w:t>
      </w:r>
      <w:r w:rsidR="00DE6ED2" w:rsidRPr="000536E0">
        <w:t>Bible</w:t>
      </w:r>
      <w:r w:rsidR="007C64C5" w:rsidRPr="000536E0">
        <w:t>,</w:t>
      </w:r>
      <w:r w:rsidR="00243834" w:rsidRPr="000536E0">
        <w:t xml:space="preserve"> in</w:t>
      </w:r>
      <w:r w:rsidR="007C64C5" w:rsidRPr="000536E0">
        <w:t xml:space="preserve"> </w:t>
      </w:r>
      <w:r w:rsidR="008E492B" w:rsidRPr="000536E0">
        <w:t>“</w:t>
      </w:r>
      <w:r w:rsidR="007C64C5" w:rsidRPr="000536E0">
        <w:t>Genesis 2:20</w:t>
      </w:r>
      <w:r w:rsidR="008E492B" w:rsidRPr="000536E0">
        <w:t>”</w:t>
      </w:r>
      <w:r w:rsidR="007C64C5" w:rsidRPr="000536E0">
        <w:t>. New International Version</w:t>
      </w:r>
      <w:r w:rsidR="0097732E" w:rsidRPr="000536E0">
        <w:t>, (translated and published 1978)</w:t>
      </w:r>
    </w:p>
  </w:footnote>
  <w:footnote w:id="33">
    <w:p w14:paraId="317FBBE6" w14:textId="4C54C500" w:rsidR="00F1730B" w:rsidRDefault="00F1730B">
      <w:pPr>
        <w:pStyle w:val="FootnoteText"/>
      </w:pPr>
      <w:r w:rsidRPr="000536E0">
        <w:rPr>
          <w:rStyle w:val="FootnoteReference"/>
        </w:rPr>
        <w:footnoteRef/>
      </w:r>
      <w:r w:rsidRPr="000536E0">
        <w:t xml:space="preserve"> Steinbach, pp.135</w:t>
      </w:r>
    </w:p>
  </w:footnote>
  <w:footnote w:id="34">
    <w:p w14:paraId="26995C68" w14:textId="445D9372" w:rsidR="008A3DFC" w:rsidRDefault="008A3DFC">
      <w:pPr>
        <w:pStyle w:val="FootnoteText"/>
      </w:pPr>
      <w:r>
        <w:rPr>
          <w:rStyle w:val="FootnoteReference"/>
        </w:rPr>
        <w:footnoteRef/>
      </w:r>
      <w:r>
        <w:t xml:space="preserve"> Ibid, pp.</w:t>
      </w:r>
      <w:r w:rsidR="009D2D94">
        <w:t>136</w:t>
      </w:r>
    </w:p>
  </w:footnote>
  <w:footnote w:id="35">
    <w:p w14:paraId="59300D99" w14:textId="74F919FA" w:rsidR="009D2D94" w:rsidRDefault="009D2D94">
      <w:pPr>
        <w:pStyle w:val="FootnoteText"/>
      </w:pPr>
      <w:r>
        <w:rPr>
          <w:rStyle w:val="FootnoteReference"/>
        </w:rPr>
        <w:footnoteRef/>
      </w:r>
      <w:r>
        <w:t xml:space="preserve"> Ibid, pp.136</w:t>
      </w:r>
    </w:p>
  </w:footnote>
  <w:footnote w:id="36">
    <w:p w14:paraId="5AF3FB68" w14:textId="77777777" w:rsidR="005024DF" w:rsidRDefault="005024DF" w:rsidP="005024DF">
      <w:pPr>
        <w:pStyle w:val="FootnoteText"/>
      </w:pPr>
      <w:r>
        <w:rPr>
          <w:rStyle w:val="FootnoteReference"/>
        </w:rPr>
        <w:footnoteRef/>
      </w:r>
      <w:r>
        <w:t xml:space="preserve"> Steinbach, pp.140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85E"/>
    <w:multiLevelType w:val="hybridMultilevel"/>
    <w:tmpl w:val="A0A09FE6"/>
    <w:lvl w:ilvl="0" w:tplc="541AD6C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6A28"/>
    <w:multiLevelType w:val="hybridMultilevel"/>
    <w:tmpl w:val="BFE2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E7AD6"/>
    <w:multiLevelType w:val="hybridMultilevel"/>
    <w:tmpl w:val="CFF816BE"/>
    <w:lvl w:ilvl="0" w:tplc="E84EB6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125B2"/>
    <w:multiLevelType w:val="hybridMultilevel"/>
    <w:tmpl w:val="565452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545B0"/>
    <w:multiLevelType w:val="hybridMultilevel"/>
    <w:tmpl w:val="6D02441E"/>
    <w:lvl w:ilvl="0" w:tplc="A8540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C256D"/>
    <w:multiLevelType w:val="hybridMultilevel"/>
    <w:tmpl w:val="1D16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792723">
    <w:abstractNumId w:val="3"/>
  </w:num>
  <w:num w:numId="2" w16cid:durableId="261886845">
    <w:abstractNumId w:val="4"/>
  </w:num>
  <w:num w:numId="3" w16cid:durableId="129445683">
    <w:abstractNumId w:val="2"/>
  </w:num>
  <w:num w:numId="4" w16cid:durableId="2097938772">
    <w:abstractNumId w:val="0"/>
  </w:num>
  <w:num w:numId="5" w16cid:durableId="649480094">
    <w:abstractNumId w:val="1"/>
  </w:num>
  <w:num w:numId="6" w16cid:durableId="1218052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28"/>
    <w:rsid w:val="00003CCE"/>
    <w:rsid w:val="00003FC3"/>
    <w:rsid w:val="00010333"/>
    <w:rsid w:val="00012B4D"/>
    <w:rsid w:val="000216AD"/>
    <w:rsid w:val="000224F7"/>
    <w:rsid w:val="0002430A"/>
    <w:rsid w:val="00033A5E"/>
    <w:rsid w:val="00033CFB"/>
    <w:rsid w:val="000350BA"/>
    <w:rsid w:val="00037D0A"/>
    <w:rsid w:val="00037DA2"/>
    <w:rsid w:val="00037EFE"/>
    <w:rsid w:val="000411BB"/>
    <w:rsid w:val="0004701A"/>
    <w:rsid w:val="0005316E"/>
    <w:rsid w:val="000536E0"/>
    <w:rsid w:val="00055651"/>
    <w:rsid w:val="000606E5"/>
    <w:rsid w:val="00060969"/>
    <w:rsid w:val="00064521"/>
    <w:rsid w:val="00067007"/>
    <w:rsid w:val="00067FDD"/>
    <w:rsid w:val="00077D17"/>
    <w:rsid w:val="000906D7"/>
    <w:rsid w:val="00091D1F"/>
    <w:rsid w:val="00096671"/>
    <w:rsid w:val="000967E0"/>
    <w:rsid w:val="000976E3"/>
    <w:rsid w:val="000A5423"/>
    <w:rsid w:val="000B4135"/>
    <w:rsid w:val="000C1225"/>
    <w:rsid w:val="000C33E5"/>
    <w:rsid w:val="000C428D"/>
    <w:rsid w:val="000C4852"/>
    <w:rsid w:val="000C49D7"/>
    <w:rsid w:val="000C591D"/>
    <w:rsid w:val="000D1468"/>
    <w:rsid w:val="000D3B3B"/>
    <w:rsid w:val="000D6BBC"/>
    <w:rsid w:val="000F1446"/>
    <w:rsid w:val="000F4768"/>
    <w:rsid w:val="00100791"/>
    <w:rsid w:val="00102DBE"/>
    <w:rsid w:val="00103387"/>
    <w:rsid w:val="001047CD"/>
    <w:rsid w:val="00104D79"/>
    <w:rsid w:val="00120B94"/>
    <w:rsid w:val="00124049"/>
    <w:rsid w:val="0012447A"/>
    <w:rsid w:val="00124E3B"/>
    <w:rsid w:val="001254B5"/>
    <w:rsid w:val="0014265F"/>
    <w:rsid w:val="001442B5"/>
    <w:rsid w:val="001536AB"/>
    <w:rsid w:val="00153DE6"/>
    <w:rsid w:val="00155EA7"/>
    <w:rsid w:val="001570A5"/>
    <w:rsid w:val="001603B0"/>
    <w:rsid w:val="001648A9"/>
    <w:rsid w:val="00165155"/>
    <w:rsid w:val="00166D20"/>
    <w:rsid w:val="00166E0F"/>
    <w:rsid w:val="00173BB8"/>
    <w:rsid w:val="001740BE"/>
    <w:rsid w:val="0017497D"/>
    <w:rsid w:val="0017582E"/>
    <w:rsid w:val="00176486"/>
    <w:rsid w:val="00177458"/>
    <w:rsid w:val="0018349B"/>
    <w:rsid w:val="00191330"/>
    <w:rsid w:val="0019793B"/>
    <w:rsid w:val="00197EA4"/>
    <w:rsid w:val="001A2C04"/>
    <w:rsid w:val="001A2E6F"/>
    <w:rsid w:val="001A74FD"/>
    <w:rsid w:val="001B12BF"/>
    <w:rsid w:val="001B423B"/>
    <w:rsid w:val="001B6E80"/>
    <w:rsid w:val="001C27F8"/>
    <w:rsid w:val="001C6117"/>
    <w:rsid w:val="001D44C4"/>
    <w:rsid w:val="001D45CB"/>
    <w:rsid w:val="001E12D0"/>
    <w:rsid w:val="001E65FA"/>
    <w:rsid w:val="001F0C67"/>
    <w:rsid w:val="001F3FC1"/>
    <w:rsid w:val="001F76B0"/>
    <w:rsid w:val="0020246B"/>
    <w:rsid w:val="00202CD4"/>
    <w:rsid w:val="00205248"/>
    <w:rsid w:val="002134FC"/>
    <w:rsid w:val="00215E69"/>
    <w:rsid w:val="002169E9"/>
    <w:rsid w:val="002171A3"/>
    <w:rsid w:val="002242B7"/>
    <w:rsid w:val="002302C0"/>
    <w:rsid w:val="002401A0"/>
    <w:rsid w:val="00243834"/>
    <w:rsid w:val="0024414B"/>
    <w:rsid w:val="002500B7"/>
    <w:rsid w:val="002636E5"/>
    <w:rsid w:val="00267B24"/>
    <w:rsid w:val="00270D81"/>
    <w:rsid w:val="002738E7"/>
    <w:rsid w:val="00277556"/>
    <w:rsid w:val="00280D84"/>
    <w:rsid w:val="00284CE9"/>
    <w:rsid w:val="00286968"/>
    <w:rsid w:val="002966DD"/>
    <w:rsid w:val="002A0203"/>
    <w:rsid w:val="002A2A01"/>
    <w:rsid w:val="002A571D"/>
    <w:rsid w:val="002A6370"/>
    <w:rsid w:val="002A644A"/>
    <w:rsid w:val="002A6DEE"/>
    <w:rsid w:val="002A7014"/>
    <w:rsid w:val="002A7765"/>
    <w:rsid w:val="002B05C7"/>
    <w:rsid w:val="002B0F78"/>
    <w:rsid w:val="002B322C"/>
    <w:rsid w:val="002B7808"/>
    <w:rsid w:val="002C235D"/>
    <w:rsid w:val="002C6965"/>
    <w:rsid w:val="002D2CB5"/>
    <w:rsid w:val="002D32FA"/>
    <w:rsid w:val="002D33A5"/>
    <w:rsid w:val="002E13AF"/>
    <w:rsid w:val="002E1B3A"/>
    <w:rsid w:val="002E7C94"/>
    <w:rsid w:val="002F13BC"/>
    <w:rsid w:val="002F2F90"/>
    <w:rsid w:val="003073C8"/>
    <w:rsid w:val="003117E0"/>
    <w:rsid w:val="00311BA3"/>
    <w:rsid w:val="003123FC"/>
    <w:rsid w:val="003149DC"/>
    <w:rsid w:val="00326407"/>
    <w:rsid w:val="003325BD"/>
    <w:rsid w:val="00344ED0"/>
    <w:rsid w:val="00345486"/>
    <w:rsid w:val="003548DB"/>
    <w:rsid w:val="0035622F"/>
    <w:rsid w:val="00361BA7"/>
    <w:rsid w:val="003706CB"/>
    <w:rsid w:val="0037305A"/>
    <w:rsid w:val="0038001F"/>
    <w:rsid w:val="00381DC7"/>
    <w:rsid w:val="003820D6"/>
    <w:rsid w:val="00397E78"/>
    <w:rsid w:val="003A1793"/>
    <w:rsid w:val="003A6194"/>
    <w:rsid w:val="003A676E"/>
    <w:rsid w:val="003B0472"/>
    <w:rsid w:val="003B0A3F"/>
    <w:rsid w:val="003B6687"/>
    <w:rsid w:val="003C10F8"/>
    <w:rsid w:val="003D092F"/>
    <w:rsid w:val="003E03C1"/>
    <w:rsid w:val="003E06BD"/>
    <w:rsid w:val="003E51F3"/>
    <w:rsid w:val="003F0C1C"/>
    <w:rsid w:val="003F1692"/>
    <w:rsid w:val="003F1C82"/>
    <w:rsid w:val="003F61AC"/>
    <w:rsid w:val="00404B22"/>
    <w:rsid w:val="00405FBF"/>
    <w:rsid w:val="004071B0"/>
    <w:rsid w:val="00414EC8"/>
    <w:rsid w:val="004202B5"/>
    <w:rsid w:val="0042122C"/>
    <w:rsid w:val="00425AF7"/>
    <w:rsid w:val="00427D80"/>
    <w:rsid w:val="004313A2"/>
    <w:rsid w:val="00434742"/>
    <w:rsid w:val="004371D2"/>
    <w:rsid w:val="00446CD6"/>
    <w:rsid w:val="004478DD"/>
    <w:rsid w:val="00453988"/>
    <w:rsid w:val="004568A7"/>
    <w:rsid w:val="00460E27"/>
    <w:rsid w:val="004700BC"/>
    <w:rsid w:val="00470F5C"/>
    <w:rsid w:val="0047347A"/>
    <w:rsid w:val="00474E90"/>
    <w:rsid w:val="0047645A"/>
    <w:rsid w:val="00476F81"/>
    <w:rsid w:val="00483159"/>
    <w:rsid w:val="00483E05"/>
    <w:rsid w:val="00486698"/>
    <w:rsid w:val="00495592"/>
    <w:rsid w:val="0049587E"/>
    <w:rsid w:val="0049776D"/>
    <w:rsid w:val="004A0A4F"/>
    <w:rsid w:val="004A20A6"/>
    <w:rsid w:val="004A51ED"/>
    <w:rsid w:val="004A690A"/>
    <w:rsid w:val="004A6A75"/>
    <w:rsid w:val="004A70CF"/>
    <w:rsid w:val="004A7203"/>
    <w:rsid w:val="004A7929"/>
    <w:rsid w:val="004C5D94"/>
    <w:rsid w:val="004D4980"/>
    <w:rsid w:val="004D6203"/>
    <w:rsid w:val="004D7F63"/>
    <w:rsid w:val="004D7FAE"/>
    <w:rsid w:val="004E0C50"/>
    <w:rsid w:val="004E38CC"/>
    <w:rsid w:val="004E3EE6"/>
    <w:rsid w:val="004E534C"/>
    <w:rsid w:val="004E67D1"/>
    <w:rsid w:val="004F087D"/>
    <w:rsid w:val="004F0E91"/>
    <w:rsid w:val="005024DF"/>
    <w:rsid w:val="00512A71"/>
    <w:rsid w:val="00516A28"/>
    <w:rsid w:val="00517955"/>
    <w:rsid w:val="00517CC5"/>
    <w:rsid w:val="00520493"/>
    <w:rsid w:val="00533F99"/>
    <w:rsid w:val="00534E01"/>
    <w:rsid w:val="00542C06"/>
    <w:rsid w:val="00543D65"/>
    <w:rsid w:val="00550E84"/>
    <w:rsid w:val="005523D4"/>
    <w:rsid w:val="00557B3E"/>
    <w:rsid w:val="005630CD"/>
    <w:rsid w:val="00563303"/>
    <w:rsid w:val="0056562C"/>
    <w:rsid w:val="00567404"/>
    <w:rsid w:val="00572C22"/>
    <w:rsid w:val="00577AA4"/>
    <w:rsid w:val="00581574"/>
    <w:rsid w:val="00583CC0"/>
    <w:rsid w:val="00584C23"/>
    <w:rsid w:val="005852D9"/>
    <w:rsid w:val="00587CE5"/>
    <w:rsid w:val="005A3302"/>
    <w:rsid w:val="005A4E5D"/>
    <w:rsid w:val="005B0AE1"/>
    <w:rsid w:val="005B22A4"/>
    <w:rsid w:val="005B6133"/>
    <w:rsid w:val="005D1293"/>
    <w:rsid w:val="005D2752"/>
    <w:rsid w:val="005E12FB"/>
    <w:rsid w:val="005E6584"/>
    <w:rsid w:val="005F5D4B"/>
    <w:rsid w:val="005F7624"/>
    <w:rsid w:val="00604C72"/>
    <w:rsid w:val="00606B69"/>
    <w:rsid w:val="0061381B"/>
    <w:rsid w:val="00614196"/>
    <w:rsid w:val="006161F9"/>
    <w:rsid w:val="006200A2"/>
    <w:rsid w:val="006253D3"/>
    <w:rsid w:val="00625A37"/>
    <w:rsid w:val="00627630"/>
    <w:rsid w:val="006360A1"/>
    <w:rsid w:val="00637C49"/>
    <w:rsid w:val="0064316D"/>
    <w:rsid w:val="00657036"/>
    <w:rsid w:val="006631CC"/>
    <w:rsid w:val="006642FB"/>
    <w:rsid w:val="00664F6B"/>
    <w:rsid w:val="006666A0"/>
    <w:rsid w:val="00671DCF"/>
    <w:rsid w:val="00676BB1"/>
    <w:rsid w:val="00676BCE"/>
    <w:rsid w:val="00684299"/>
    <w:rsid w:val="00686697"/>
    <w:rsid w:val="006904BF"/>
    <w:rsid w:val="00692BB1"/>
    <w:rsid w:val="006979EE"/>
    <w:rsid w:val="00697CAF"/>
    <w:rsid w:val="006A010B"/>
    <w:rsid w:val="006A2E04"/>
    <w:rsid w:val="006B357C"/>
    <w:rsid w:val="006C01AA"/>
    <w:rsid w:val="006C081B"/>
    <w:rsid w:val="006D054F"/>
    <w:rsid w:val="006D206C"/>
    <w:rsid w:val="006D5595"/>
    <w:rsid w:val="006E0AB9"/>
    <w:rsid w:val="006E667D"/>
    <w:rsid w:val="006F5A95"/>
    <w:rsid w:val="006F791F"/>
    <w:rsid w:val="007201E9"/>
    <w:rsid w:val="00722BB5"/>
    <w:rsid w:val="00722DF3"/>
    <w:rsid w:val="00727FF5"/>
    <w:rsid w:val="00731BFD"/>
    <w:rsid w:val="00734BDA"/>
    <w:rsid w:val="00745C26"/>
    <w:rsid w:val="00746FB0"/>
    <w:rsid w:val="007519C6"/>
    <w:rsid w:val="007537E3"/>
    <w:rsid w:val="00754283"/>
    <w:rsid w:val="00760BC6"/>
    <w:rsid w:val="007611ED"/>
    <w:rsid w:val="00773E04"/>
    <w:rsid w:val="007749BB"/>
    <w:rsid w:val="00774EEE"/>
    <w:rsid w:val="00775764"/>
    <w:rsid w:val="00781A35"/>
    <w:rsid w:val="00784180"/>
    <w:rsid w:val="0079056F"/>
    <w:rsid w:val="00795BDF"/>
    <w:rsid w:val="00797226"/>
    <w:rsid w:val="007A3FE1"/>
    <w:rsid w:val="007A5076"/>
    <w:rsid w:val="007A5A82"/>
    <w:rsid w:val="007A7766"/>
    <w:rsid w:val="007B0484"/>
    <w:rsid w:val="007B0683"/>
    <w:rsid w:val="007C0E70"/>
    <w:rsid w:val="007C11B4"/>
    <w:rsid w:val="007C1609"/>
    <w:rsid w:val="007C64C5"/>
    <w:rsid w:val="007D0F3B"/>
    <w:rsid w:val="007D1591"/>
    <w:rsid w:val="007D238E"/>
    <w:rsid w:val="007D45A8"/>
    <w:rsid w:val="007D5483"/>
    <w:rsid w:val="007D59B8"/>
    <w:rsid w:val="007E07C3"/>
    <w:rsid w:val="007E3BCA"/>
    <w:rsid w:val="007E5422"/>
    <w:rsid w:val="007E5783"/>
    <w:rsid w:val="007E6B4E"/>
    <w:rsid w:val="007E7A43"/>
    <w:rsid w:val="007F0924"/>
    <w:rsid w:val="007F0DF6"/>
    <w:rsid w:val="007F0FD8"/>
    <w:rsid w:val="007F7FD9"/>
    <w:rsid w:val="008157C6"/>
    <w:rsid w:val="008223D1"/>
    <w:rsid w:val="00826F38"/>
    <w:rsid w:val="00835FAF"/>
    <w:rsid w:val="008370FE"/>
    <w:rsid w:val="00841348"/>
    <w:rsid w:val="008519C1"/>
    <w:rsid w:val="008521D9"/>
    <w:rsid w:val="00852A2F"/>
    <w:rsid w:val="00857276"/>
    <w:rsid w:val="0085792D"/>
    <w:rsid w:val="008600E5"/>
    <w:rsid w:val="008652AA"/>
    <w:rsid w:val="008655D8"/>
    <w:rsid w:val="00866310"/>
    <w:rsid w:val="00871499"/>
    <w:rsid w:val="008749FE"/>
    <w:rsid w:val="00876D97"/>
    <w:rsid w:val="00880D31"/>
    <w:rsid w:val="00884E5A"/>
    <w:rsid w:val="008904C2"/>
    <w:rsid w:val="008931DB"/>
    <w:rsid w:val="008A2E3A"/>
    <w:rsid w:val="008A3DFC"/>
    <w:rsid w:val="008A45E0"/>
    <w:rsid w:val="008B206A"/>
    <w:rsid w:val="008C0203"/>
    <w:rsid w:val="008C2917"/>
    <w:rsid w:val="008C6EB3"/>
    <w:rsid w:val="008D6881"/>
    <w:rsid w:val="008E0F06"/>
    <w:rsid w:val="008E195D"/>
    <w:rsid w:val="008E298D"/>
    <w:rsid w:val="008E492B"/>
    <w:rsid w:val="008F69AA"/>
    <w:rsid w:val="00915A8F"/>
    <w:rsid w:val="009160D7"/>
    <w:rsid w:val="00917150"/>
    <w:rsid w:val="00922C29"/>
    <w:rsid w:val="00923C01"/>
    <w:rsid w:val="009249FE"/>
    <w:rsid w:val="00931E26"/>
    <w:rsid w:val="009404AA"/>
    <w:rsid w:val="009457B5"/>
    <w:rsid w:val="0095118A"/>
    <w:rsid w:val="00953834"/>
    <w:rsid w:val="009540DC"/>
    <w:rsid w:val="00955537"/>
    <w:rsid w:val="00956384"/>
    <w:rsid w:val="00960828"/>
    <w:rsid w:val="00967B65"/>
    <w:rsid w:val="0097732E"/>
    <w:rsid w:val="00982CD0"/>
    <w:rsid w:val="00985705"/>
    <w:rsid w:val="00985ACF"/>
    <w:rsid w:val="00985DA9"/>
    <w:rsid w:val="009A3973"/>
    <w:rsid w:val="009A44A6"/>
    <w:rsid w:val="009A459C"/>
    <w:rsid w:val="009B1745"/>
    <w:rsid w:val="009B67C6"/>
    <w:rsid w:val="009B6AEF"/>
    <w:rsid w:val="009B6F1E"/>
    <w:rsid w:val="009C1765"/>
    <w:rsid w:val="009C4AEC"/>
    <w:rsid w:val="009D2089"/>
    <w:rsid w:val="009D2D94"/>
    <w:rsid w:val="009D6EB4"/>
    <w:rsid w:val="009D703D"/>
    <w:rsid w:val="009D70E0"/>
    <w:rsid w:val="009D7401"/>
    <w:rsid w:val="009D78CA"/>
    <w:rsid w:val="009E0268"/>
    <w:rsid w:val="009F24D1"/>
    <w:rsid w:val="009F2A4C"/>
    <w:rsid w:val="009F43D9"/>
    <w:rsid w:val="00A0046D"/>
    <w:rsid w:val="00A07E6B"/>
    <w:rsid w:val="00A15C85"/>
    <w:rsid w:val="00A174E9"/>
    <w:rsid w:val="00A21B8D"/>
    <w:rsid w:val="00A237C8"/>
    <w:rsid w:val="00A312E7"/>
    <w:rsid w:val="00A35670"/>
    <w:rsid w:val="00A36D17"/>
    <w:rsid w:val="00A400BE"/>
    <w:rsid w:val="00A43D93"/>
    <w:rsid w:val="00A442DB"/>
    <w:rsid w:val="00A56499"/>
    <w:rsid w:val="00A6351F"/>
    <w:rsid w:val="00A65455"/>
    <w:rsid w:val="00A673D9"/>
    <w:rsid w:val="00A7142E"/>
    <w:rsid w:val="00A747BD"/>
    <w:rsid w:val="00A75168"/>
    <w:rsid w:val="00A7747F"/>
    <w:rsid w:val="00A809C2"/>
    <w:rsid w:val="00A82A5A"/>
    <w:rsid w:val="00AA2F5D"/>
    <w:rsid w:val="00AA39C9"/>
    <w:rsid w:val="00AA474B"/>
    <w:rsid w:val="00AB623A"/>
    <w:rsid w:val="00AC0BBB"/>
    <w:rsid w:val="00AC4C7B"/>
    <w:rsid w:val="00AC5D17"/>
    <w:rsid w:val="00AD4250"/>
    <w:rsid w:val="00AE218D"/>
    <w:rsid w:val="00AF19EB"/>
    <w:rsid w:val="00AF41DC"/>
    <w:rsid w:val="00B01FA0"/>
    <w:rsid w:val="00B034D7"/>
    <w:rsid w:val="00B04B7E"/>
    <w:rsid w:val="00B05CD0"/>
    <w:rsid w:val="00B07BC5"/>
    <w:rsid w:val="00B12035"/>
    <w:rsid w:val="00B172F3"/>
    <w:rsid w:val="00B245CC"/>
    <w:rsid w:val="00B347E9"/>
    <w:rsid w:val="00B357E2"/>
    <w:rsid w:val="00B35F65"/>
    <w:rsid w:val="00B507F4"/>
    <w:rsid w:val="00B55FB4"/>
    <w:rsid w:val="00B601E1"/>
    <w:rsid w:val="00B64D9B"/>
    <w:rsid w:val="00B65B78"/>
    <w:rsid w:val="00B66297"/>
    <w:rsid w:val="00B7333F"/>
    <w:rsid w:val="00B73E20"/>
    <w:rsid w:val="00B75E99"/>
    <w:rsid w:val="00B77824"/>
    <w:rsid w:val="00B86786"/>
    <w:rsid w:val="00BA02D5"/>
    <w:rsid w:val="00BA0F30"/>
    <w:rsid w:val="00BA7311"/>
    <w:rsid w:val="00BA7347"/>
    <w:rsid w:val="00BB0107"/>
    <w:rsid w:val="00BB3AC0"/>
    <w:rsid w:val="00BC14F1"/>
    <w:rsid w:val="00BC1B2D"/>
    <w:rsid w:val="00BC3FDD"/>
    <w:rsid w:val="00BC412F"/>
    <w:rsid w:val="00BC58C4"/>
    <w:rsid w:val="00BC5DEC"/>
    <w:rsid w:val="00BC7467"/>
    <w:rsid w:val="00BD0907"/>
    <w:rsid w:val="00BD2BA0"/>
    <w:rsid w:val="00BE0209"/>
    <w:rsid w:val="00BE2D2F"/>
    <w:rsid w:val="00BE488F"/>
    <w:rsid w:val="00BE4BEF"/>
    <w:rsid w:val="00BE5000"/>
    <w:rsid w:val="00BE52FD"/>
    <w:rsid w:val="00BE7EB6"/>
    <w:rsid w:val="00BF044A"/>
    <w:rsid w:val="00BF2272"/>
    <w:rsid w:val="00BF26D5"/>
    <w:rsid w:val="00BF4418"/>
    <w:rsid w:val="00BF5402"/>
    <w:rsid w:val="00BF6E92"/>
    <w:rsid w:val="00BF7091"/>
    <w:rsid w:val="00BF7F1E"/>
    <w:rsid w:val="00C0280A"/>
    <w:rsid w:val="00C02A17"/>
    <w:rsid w:val="00C123FA"/>
    <w:rsid w:val="00C16A7F"/>
    <w:rsid w:val="00C17282"/>
    <w:rsid w:val="00C20067"/>
    <w:rsid w:val="00C26343"/>
    <w:rsid w:val="00C31154"/>
    <w:rsid w:val="00C318A1"/>
    <w:rsid w:val="00C33B17"/>
    <w:rsid w:val="00C36DD3"/>
    <w:rsid w:val="00C43035"/>
    <w:rsid w:val="00C47EB8"/>
    <w:rsid w:val="00C50195"/>
    <w:rsid w:val="00C533DD"/>
    <w:rsid w:val="00C56CED"/>
    <w:rsid w:val="00C56D02"/>
    <w:rsid w:val="00C65278"/>
    <w:rsid w:val="00C6652C"/>
    <w:rsid w:val="00C744A8"/>
    <w:rsid w:val="00C76BF4"/>
    <w:rsid w:val="00C770AD"/>
    <w:rsid w:val="00C80550"/>
    <w:rsid w:val="00C80619"/>
    <w:rsid w:val="00C82CA4"/>
    <w:rsid w:val="00C83268"/>
    <w:rsid w:val="00C877C4"/>
    <w:rsid w:val="00C90232"/>
    <w:rsid w:val="00C91DBB"/>
    <w:rsid w:val="00C9379A"/>
    <w:rsid w:val="00C93A87"/>
    <w:rsid w:val="00CA42DC"/>
    <w:rsid w:val="00CB07AE"/>
    <w:rsid w:val="00CC1A4A"/>
    <w:rsid w:val="00CC29E4"/>
    <w:rsid w:val="00CC385C"/>
    <w:rsid w:val="00CD3F91"/>
    <w:rsid w:val="00CD5539"/>
    <w:rsid w:val="00CF3499"/>
    <w:rsid w:val="00CF5BC0"/>
    <w:rsid w:val="00D107FE"/>
    <w:rsid w:val="00D11187"/>
    <w:rsid w:val="00D213B8"/>
    <w:rsid w:val="00D236BC"/>
    <w:rsid w:val="00D24B82"/>
    <w:rsid w:val="00D306E6"/>
    <w:rsid w:val="00D41615"/>
    <w:rsid w:val="00D51F7B"/>
    <w:rsid w:val="00D544C0"/>
    <w:rsid w:val="00D54B24"/>
    <w:rsid w:val="00D6068E"/>
    <w:rsid w:val="00D629BC"/>
    <w:rsid w:val="00D648D4"/>
    <w:rsid w:val="00D65259"/>
    <w:rsid w:val="00D6611D"/>
    <w:rsid w:val="00D721BE"/>
    <w:rsid w:val="00D731AE"/>
    <w:rsid w:val="00D757BE"/>
    <w:rsid w:val="00D84484"/>
    <w:rsid w:val="00D92122"/>
    <w:rsid w:val="00D9620D"/>
    <w:rsid w:val="00DA4D4D"/>
    <w:rsid w:val="00DB3A2C"/>
    <w:rsid w:val="00DB5514"/>
    <w:rsid w:val="00DB7808"/>
    <w:rsid w:val="00DC0AE0"/>
    <w:rsid w:val="00DC3650"/>
    <w:rsid w:val="00DC6385"/>
    <w:rsid w:val="00DC67C9"/>
    <w:rsid w:val="00DC7A6B"/>
    <w:rsid w:val="00DD0725"/>
    <w:rsid w:val="00DD38F6"/>
    <w:rsid w:val="00DE41FF"/>
    <w:rsid w:val="00DE6ED2"/>
    <w:rsid w:val="00DE702E"/>
    <w:rsid w:val="00DF05E3"/>
    <w:rsid w:val="00E0033B"/>
    <w:rsid w:val="00E240E8"/>
    <w:rsid w:val="00E27A47"/>
    <w:rsid w:val="00E321CF"/>
    <w:rsid w:val="00E3268D"/>
    <w:rsid w:val="00E403F4"/>
    <w:rsid w:val="00E429FB"/>
    <w:rsid w:val="00E438B2"/>
    <w:rsid w:val="00E44E89"/>
    <w:rsid w:val="00E47D46"/>
    <w:rsid w:val="00E516EA"/>
    <w:rsid w:val="00E55977"/>
    <w:rsid w:val="00E55CDF"/>
    <w:rsid w:val="00E5736E"/>
    <w:rsid w:val="00E62D62"/>
    <w:rsid w:val="00E63BC2"/>
    <w:rsid w:val="00E6480D"/>
    <w:rsid w:val="00E65F82"/>
    <w:rsid w:val="00E6799F"/>
    <w:rsid w:val="00E70DAC"/>
    <w:rsid w:val="00E71677"/>
    <w:rsid w:val="00E72172"/>
    <w:rsid w:val="00E75347"/>
    <w:rsid w:val="00E75B8A"/>
    <w:rsid w:val="00E76EB2"/>
    <w:rsid w:val="00E83D82"/>
    <w:rsid w:val="00E8564F"/>
    <w:rsid w:val="00E90604"/>
    <w:rsid w:val="00E911E0"/>
    <w:rsid w:val="00E94182"/>
    <w:rsid w:val="00EA3D4A"/>
    <w:rsid w:val="00EA478D"/>
    <w:rsid w:val="00EA692C"/>
    <w:rsid w:val="00EB6374"/>
    <w:rsid w:val="00EC3516"/>
    <w:rsid w:val="00EC53B9"/>
    <w:rsid w:val="00EC6308"/>
    <w:rsid w:val="00EE1368"/>
    <w:rsid w:val="00EE44D5"/>
    <w:rsid w:val="00EF05AD"/>
    <w:rsid w:val="00EF285A"/>
    <w:rsid w:val="00EF3C4E"/>
    <w:rsid w:val="00EF499C"/>
    <w:rsid w:val="00EF743B"/>
    <w:rsid w:val="00F01D09"/>
    <w:rsid w:val="00F059E0"/>
    <w:rsid w:val="00F1230C"/>
    <w:rsid w:val="00F1730B"/>
    <w:rsid w:val="00F24566"/>
    <w:rsid w:val="00F247BC"/>
    <w:rsid w:val="00F33DB9"/>
    <w:rsid w:val="00F443AC"/>
    <w:rsid w:val="00F4583B"/>
    <w:rsid w:val="00F47C09"/>
    <w:rsid w:val="00F51619"/>
    <w:rsid w:val="00F57E45"/>
    <w:rsid w:val="00F622E0"/>
    <w:rsid w:val="00F67E8A"/>
    <w:rsid w:val="00F743E9"/>
    <w:rsid w:val="00F760A9"/>
    <w:rsid w:val="00F77D6B"/>
    <w:rsid w:val="00F8163F"/>
    <w:rsid w:val="00F87839"/>
    <w:rsid w:val="00FA0504"/>
    <w:rsid w:val="00FA1482"/>
    <w:rsid w:val="00FA5A6F"/>
    <w:rsid w:val="00FB215C"/>
    <w:rsid w:val="00FB2550"/>
    <w:rsid w:val="00FB2BA6"/>
    <w:rsid w:val="00FB35F1"/>
    <w:rsid w:val="00FB36CE"/>
    <w:rsid w:val="00FC1B06"/>
    <w:rsid w:val="00FC3865"/>
    <w:rsid w:val="00FC6FF9"/>
    <w:rsid w:val="00FD2999"/>
    <w:rsid w:val="00FD3BBA"/>
    <w:rsid w:val="00FD4140"/>
    <w:rsid w:val="00FE36F8"/>
    <w:rsid w:val="00FE4A8D"/>
    <w:rsid w:val="00FE58BF"/>
    <w:rsid w:val="00FE765A"/>
    <w:rsid w:val="00FF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E409C"/>
  <w15:chartTrackingRefBased/>
  <w15:docId w15:val="{3B62A55C-4990-4381-9D84-5A0EBC33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92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82"/>
    <w:pPr>
      <w:ind w:left="720"/>
      <w:contextualSpacing/>
    </w:pPr>
  </w:style>
  <w:style w:type="character" w:customStyle="1" w:styleId="Heading1Char">
    <w:name w:val="Heading 1 Char"/>
    <w:basedOn w:val="DefaultParagraphFont"/>
    <w:link w:val="Heading1"/>
    <w:uiPriority w:val="9"/>
    <w:rsid w:val="003D092F"/>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E5736E"/>
    <w:pPr>
      <w:spacing w:after="0" w:line="240" w:lineRule="auto"/>
    </w:pPr>
    <w:rPr>
      <w:rFonts w:eastAsia="Calibri"/>
    </w:rPr>
  </w:style>
  <w:style w:type="paragraph" w:styleId="Header">
    <w:name w:val="header"/>
    <w:basedOn w:val="Normal"/>
    <w:link w:val="HeaderChar"/>
    <w:uiPriority w:val="99"/>
    <w:unhideWhenUsed/>
    <w:rsid w:val="002A2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A01"/>
  </w:style>
  <w:style w:type="paragraph" w:styleId="Footer">
    <w:name w:val="footer"/>
    <w:basedOn w:val="Normal"/>
    <w:link w:val="FooterChar"/>
    <w:uiPriority w:val="99"/>
    <w:unhideWhenUsed/>
    <w:rsid w:val="002A2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A01"/>
  </w:style>
  <w:style w:type="paragraph" w:styleId="FootnoteText">
    <w:name w:val="footnote text"/>
    <w:basedOn w:val="Normal"/>
    <w:link w:val="FootnoteTextChar"/>
    <w:uiPriority w:val="99"/>
    <w:unhideWhenUsed/>
    <w:rsid w:val="003C10F8"/>
    <w:pPr>
      <w:spacing w:after="0" w:line="240" w:lineRule="auto"/>
    </w:pPr>
    <w:rPr>
      <w:sz w:val="20"/>
      <w:szCs w:val="20"/>
    </w:rPr>
  </w:style>
  <w:style w:type="character" w:customStyle="1" w:styleId="FootnoteTextChar">
    <w:name w:val="Footnote Text Char"/>
    <w:basedOn w:val="DefaultParagraphFont"/>
    <w:link w:val="FootnoteText"/>
    <w:uiPriority w:val="99"/>
    <w:rsid w:val="003C10F8"/>
    <w:rPr>
      <w:sz w:val="20"/>
      <w:szCs w:val="20"/>
    </w:rPr>
  </w:style>
  <w:style w:type="character" w:styleId="FootnoteReference">
    <w:name w:val="footnote reference"/>
    <w:basedOn w:val="DefaultParagraphFont"/>
    <w:uiPriority w:val="99"/>
    <w:semiHidden/>
    <w:unhideWhenUsed/>
    <w:rsid w:val="003C10F8"/>
    <w:rPr>
      <w:vertAlign w:val="superscript"/>
    </w:rPr>
  </w:style>
  <w:style w:type="character" w:styleId="Hyperlink">
    <w:name w:val="Hyperlink"/>
    <w:basedOn w:val="DefaultParagraphFont"/>
    <w:uiPriority w:val="99"/>
    <w:unhideWhenUsed/>
    <w:rsid w:val="004A7929"/>
    <w:rPr>
      <w:color w:val="0563C1" w:themeColor="hyperlink"/>
      <w:u w:val="single"/>
    </w:rPr>
  </w:style>
  <w:style w:type="character" w:styleId="UnresolvedMention">
    <w:name w:val="Unresolved Mention"/>
    <w:basedOn w:val="DefaultParagraphFont"/>
    <w:uiPriority w:val="99"/>
    <w:semiHidden/>
    <w:unhideWhenUsed/>
    <w:rsid w:val="004A7929"/>
    <w:rPr>
      <w:color w:val="605E5C"/>
      <w:shd w:val="clear" w:color="auto" w:fill="E1DFDD"/>
    </w:rPr>
  </w:style>
  <w:style w:type="character" w:styleId="FollowedHyperlink">
    <w:name w:val="FollowedHyperlink"/>
    <w:basedOn w:val="DefaultParagraphFont"/>
    <w:uiPriority w:val="99"/>
    <w:semiHidden/>
    <w:unhideWhenUsed/>
    <w:rsid w:val="004A7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history/british/victorians/womens_work_01.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7D4D-F144-426B-89E0-D79C8D3D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2722</Words>
  <Characters>15165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Mcmillan</dc:creator>
  <cp:keywords/>
  <dc:description/>
  <cp:lastModifiedBy>Shannon Mcmillan</cp:lastModifiedBy>
  <cp:revision>3</cp:revision>
  <dcterms:created xsi:type="dcterms:W3CDTF">2022-12-29T03:21:00Z</dcterms:created>
  <dcterms:modified xsi:type="dcterms:W3CDTF">2022-12-29T03:21:00Z</dcterms:modified>
</cp:coreProperties>
</file>